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8A8D5"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关于本溪高新区2024年预算执行情况和</w:t>
      </w:r>
    </w:p>
    <w:p w14:paraId="09621D3D"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2025年预算草案的报告</w:t>
      </w:r>
    </w:p>
    <w:p w14:paraId="7362BE79">
      <w:pPr>
        <w:jc w:val="center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（20</w:t>
      </w:r>
      <w:r>
        <w:rPr>
          <w:rFonts w:ascii="宋体" w:hAnsi="宋体" w:cs="宋体"/>
          <w:bCs/>
          <w:sz w:val="24"/>
          <w:szCs w:val="24"/>
        </w:rPr>
        <w:t>2</w:t>
      </w:r>
      <w:r>
        <w:rPr>
          <w:rFonts w:hint="eastAsia" w:ascii="宋体" w:hAnsi="宋体" w:cs="宋体"/>
          <w:bCs/>
          <w:sz w:val="24"/>
          <w:szCs w:val="24"/>
        </w:rPr>
        <w:t>5年1月9日</w:t>
      </w:r>
      <w:r>
        <w:rPr>
          <w:rFonts w:ascii="宋体" w:hAnsi="宋体" w:cs="宋体"/>
          <w:bCs/>
          <w:sz w:val="24"/>
          <w:szCs w:val="24"/>
        </w:rPr>
        <w:t>本溪市第十七届人民代表大会第四次会议</w:t>
      </w:r>
    </w:p>
    <w:p w14:paraId="05D0531E">
      <w:pPr>
        <w:jc w:val="center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全体会议</w:t>
      </w:r>
      <w:r>
        <w:rPr>
          <w:rFonts w:hint="eastAsia" w:ascii="宋体" w:hAnsi="宋体" w:cs="宋体"/>
          <w:bCs/>
          <w:sz w:val="24"/>
          <w:szCs w:val="24"/>
        </w:rPr>
        <w:t>通过</w:t>
      </w:r>
      <w:r>
        <w:rPr>
          <w:rFonts w:ascii="宋体" w:hAnsi="宋体" w:cs="宋体"/>
          <w:bCs/>
          <w:sz w:val="24"/>
          <w:szCs w:val="24"/>
        </w:rPr>
        <w:t>）</w:t>
      </w:r>
    </w:p>
    <w:p w14:paraId="7B442B48">
      <w:pPr>
        <w:adjustRightInd w:val="0"/>
        <w:snapToGrid w:val="0"/>
        <w:spacing w:line="580" w:lineRule="exact"/>
        <w:ind w:firstLine="632" w:firstLineChars="200"/>
        <w:rPr>
          <w:rFonts w:ascii="楷体" w:hAnsi="楷体" w:eastAsia="楷体" w:cs="楷体_GB2312"/>
          <w:b/>
        </w:rPr>
      </w:pPr>
      <w:r>
        <w:rPr>
          <w:rFonts w:ascii="黑体" w:hAnsi="黑体" w:eastAsia="黑体"/>
        </w:rPr>
        <w:t>一、</w:t>
      </w:r>
      <w:r>
        <w:rPr>
          <w:rFonts w:hint="eastAsia" w:ascii="楷体" w:hAnsi="楷体" w:eastAsia="楷体" w:cs="楷体_GB2312"/>
          <w:b/>
        </w:rPr>
        <w:t>2024年预算执行情况</w:t>
      </w:r>
    </w:p>
    <w:p w14:paraId="6539B08F">
      <w:pPr>
        <w:adjustRightInd w:val="0"/>
        <w:snapToGrid w:val="0"/>
        <w:spacing w:line="580" w:lineRule="exact"/>
        <w:rPr>
          <w:rFonts w:ascii="仿宋" w:hAnsi="仿宋" w:eastAsia="仿宋"/>
          <w:b/>
        </w:rPr>
      </w:pPr>
      <w:r>
        <w:rPr>
          <w:rFonts w:hint="eastAsia" w:ascii="仿宋" w:hAnsi="仿宋" w:eastAsia="仿宋"/>
          <w:b/>
        </w:rPr>
        <w:t xml:space="preserve"> </w:t>
      </w:r>
      <w:r>
        <w:rPr>
          <w:rFonts w:ascii="仿宋" w:hAnsi="仿宋" w:eastAsia="仿宋"/>
          <w:b/>
        </w:rPr>
        <w:t xml:space="preserve">  </w:t>
      </w:r>
      <w:r>
        <w:rPr>
          <w:rFonts w:hint="eastAsia" w:ascii="仿宋" w:hAnsi="仿宋" w:eastAsia="仿宋"/>
          <w:b/>
        </w:rPr>
        <w:t>（</w:t>
      </w:r>
      <w:r>
        <w:rPr>
          <w:rFonts w:ascii="仿宋" w:hAnsi="仿宋" w:eastAsia="仿宋"/>
          <w:b/>
        </w:rPr>
        <w:t>一）</w:t>
      </w:r>
      <w:r>
        <w:rPr>
          <w:rFonts w:hint="eastAsia" w:ascii="仿宋" w:hAnsi="仿宋" w:eastAsia="仿宋"/>
          <w:b/>
        </w:rPr>
        <w:t>一般公共预算收支情况</w:t>
      </w:r>
    </w:p>
    <w:p w14:paraId="338CA584">
      <w:pPr>
        <w:adjustRightInd w:val="0"/>
        <w:snapToGrid w:val="0"/>
        <w:spacing w:line="560" w:lineRule="exact"/>
        <w:ind w:firstLine="632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2024年一般公共预算收入59,592万元，同比增长30.2%</w:t>
      </w:r>
      <w:r>
        <w:rPr>
          <w:rFonts w:ascii="仿宋_GB2312" w:hAnsi="仿宋_GB2312" w:eastAsia="仿宋_GB2312" w:cs="仿宋_GB2312"/>
        </w:rPr>
        <w:t>,</w:t>
      </w:r>
      <w:r>
        <w:rPr>
          <w:rFonts w:hint="eastAsia" w:ascii="仿宋_GB2312" w:hAnsi="仿宋_GB2312" w:eastAsia="仿宋_GB2312" w:cs="仿宋_GB2312"/>
        </w:rPr>
        <w:t>加上级补助27,834万元、动用预算稳定调节基金939万元、债务转贷收入35,517万元、调入资金27,204万元、上年结转9,865万元，总收入为160,951万元。一般公共预算支出完成75,535万元，同</w:t>
      </w:r>
      <w:r>
        <w:rPr>
          <w:rFonts w:ascii="仿宋_GB2312" w:hAnsi="仿宋_GB2312" w:eastAsia="仿宋_GB2312" w:cs="仿宋_GB2312"/>
        </w:rPr>
        <w:t>比</w:t>
      </w:r>
      <w:r>
        <w:rPr>
          <w:rFonts w:hint="eastAsia" w:ascii="仿宋_GB2312" w:hAnsi="仿宋_GB2312" w:eastAsia="仿宋_GB2312" w:cs="仿宋_GB2312"/>
        </w:rPr>
        <w:t>增长102.3%，加上上解支出26,</w:t>
      </w:r>
      <w:bookmarkStart w:id="0" w:name="_GoBack"/>
      <w:bookmarkEnd w:id="0"/>
      <w:r>
        <w:rPr>
          <w:rFonts w:hint="eastAsia" w:ascii="仿宋_GB2312" w:hAnsi="仿宋_GB2312" w:eastAsia="仿宋_GB2312" w:cs="仿宋_GB2312"/>
        </w:rPr>
        <w:t>877万元、债务还本支出38,412万元、结转下年20,127万元，总支出为160,951万元，实现收支平衡。</w:t>
      </w:r>
    </w:p>
    <w:p w14:paraId="3140C923">
      <w:pPr>
        <w:adjustRightInd w:val="0"/>
        <w:snapToGrid w:val="0"/>
        <w:spacing w:line="580" w:lineRule="exact"/>
        <w:rPr>
          <w:rFonts w:ascii="楷体" w:hAnsi="楷体" w:eastAsia="楷体" w:cs="楷体_GB2312"/>
          <w:b/>
        </w:rPr>
      </w:pPr>
      <w:r>
        <w:rPr>
          <w:rFonts w:hint="eastAsia" w:ascii="仿宋" w:hAnsi="仿宋" w:eastAsia="仿宋"/>
          <w:b/>
        </w:rPr>
        <w:t xml:space="preserve">  </w:t>
      </w:r>
      <w:r>
        <w:rPr>
          <w:rFonts w:hint="eastAsia" w:ascii="仿宋" w:hAnsi="仿宋" w:eastAsia="仿宋"/>
          <w:b/>
          <w:lang w:val="en-US" w:eastAsia="zh-CN"/>
        </w:rPr>
        <w:t xml:space="preserve"> </w:t>
      </w:r>
      <w:r>
        <w:rPr>
          <w:rFonts w:hint="eastAsia" w:ascii="楷体" w:hAnsi="楷体" w:eastAsia="楷体" w:cs="楷体_GB2312"/>
          <w:b/>
        </w:rPr>
        <w:t>（</w:t>
      </w:r>
      <w:r>
        <w:rPr>
          <w:rFonts w:ascii="楷体" w:hAnsi="楷体" w:eastAsia="楷体" w:cs="楷体_GB2312"/>
          <w:b/>
        </w:rPr>
        <w:t>二）</w:t>
      </w:r>
      <w:r>
        <w:rPr>
          <w:rFonts w:hint="eastAsia" w:ascii="楷体" w:hAnsi="楷体" w:eastAsia="楷体" w:cs="楷体_GB2312"/>
          <w:b/>
        </w:rPr>
        <w:t>政府性基金完成情况</w:t>
      </w:r>
    </w:p>
    <w:p w14:paraId="5FA42434">
      <w:pPr>
        <w:adjustRightInd w:val="0"/>
        <w:snapToGrid w:val="0"/>
        <w:spacing w:line="560" w:lineRule="exact"/>
        <w:ind w:firstLine="632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政府性基金收入5,486万元，同</w:t>
      </w:r>
      <w:r>
        <w:rPr>
          <w:rFonts w:ascii="仿宋_GB2312" w:hAnsi="仿宋_GB2312" w:eastAsia="仿宋_GB2312" w:cs="仿宋_GB2312"/>
        </w:rPr>
        <w:t>比下降46.6%</w:t>
      </w:r>
      <w:r>
        <w:rPr>
          <w:rFonts w:hint="eastAsia" w:ascii="仿宋_GB2312" w:hAnsi="仿宋_GB2312" w:eastAsia="仿宋_GB2312" w:cs="仿宋_GB2312"/>
        </w:rPr>
        <w:t>，加上地方政府专项债务转贷收入124,641万元、转移支付收入9,465万元、调入资金12,581万元、上年结余收入2,021万元，政府性基金总收入为154,194万元。政府性基金支出107,849万元，同</w:t>
      </w:r>
      <w:r>
        <w:rPr>
          <w:rFonts w:ascii="仿宋_GB2312" w:hAnsi="仿宋_GB2312" w:eastAsia="仿宋_GB2312" w:cs="仿宋_GB2312"/>
        </w:rPr>
        <w:t>比增加371.7</w:t>
      </w:r>
      <w:r>
        <w:rPr>
          <w:rFonts w:hint="eastAsia" w:ascii="仿宋_GB2312" w:hAnsi="仿宋_GB2312" w:eastAsia="仿宋_GB2312" w:cs="仿宋_GB2312"/>
        </w:rPr>
        <w:t>%</w:t>
      </w:r>
      <w:r>
        <w:rPr>
          <w:rFonts w:ascii="仿宋_GB2312" w:hAnsi="仿宋_GB2312" w:eastAsia="仿宋_GB2312" w:cs="仿宋_GB2312"/>
        </w:rPr>
        <w:t>，</w:t>
      </w:r>
      <w:r>
        <w:rPr>
          <w:rFonts w:hint="eastAsia" w:ascii="仿宋_GB2312" w:hAnsi="仿宋_GB2312" w:eastAsia="仿宋_GB2312" w:cs="仿宋_GB2312"/>
        </w:rPr>
        <w:t>加上上解支出440万元、调出资金3,787万元、地方政府专项债务还本34,303万元、结转下年7,815万元，总支出为154,194万元，实现收支平衡。</w:t>
      </w:r>
    </w:p>
    <w:p w14:paraId="443006D2">
      <w:pPr>
        <w:numPr>
          <w:ilvl w:val="0"/>
          <w:numId w:val="1"/>
        </w:numPr>
        <w:adjustRightInd w:val="0"/>
        <w:snapToGrid w:val="0"/>
        <w:spacing w:line="580" w:lineRule="exact"/>
        <w:ind w:firstLine="474" w:firstLineChars="150"/>
        <w:rPr>
          <w:rFonts w:ascii="楷体" w:hAnsi="楷体" w:eastAsia="楷体" w:cs="楷体_GB2312"/>
          <w:b/>
        </w:rPr>
      </w:pPr>
      <w:r>
        <w:rPr>
          <w:rFonts w:hint="eastAsia" w:ascii="楷体" w:hAnsi="楷体" w:eastAsia="楷体" w:cs="楷体_GB2312"/>
          <w:b/>
        </w:rPr>
        <w:t>国有资本经营预算</w:t>
      </w:r>
      <w:r>
        <w:rPr>
          <w:rFonts w:ascii="楷体" w:hAnsi="楷体" w:eastAsia="楷体" w:cs="楷体_GB2312"/>
          <w:b/>
        </w:rPr>
        <w:t>完成情况</w:t>
      </w:r>
    </w:p>
    <w:p w14:paraId="3E768B98">
      <w:pPr>
        <w:adjustRightInd w:val="0"/>
        <w:snapToGrid w:val="0"/>
        <w:spacing w:line="580" w:lineRule="exact"/>
        <w:rPr>
          <w:rFonts w:ascii="仿宋_GB2312" w:hAnsi="仿宋_GB2312" w:eastAsia="仿宋_GB2312" w:cs="仿宋_GB2312"/>
        </w:rPr>
      </w:pPr>
      <w:r>
        <w:rPr>
          <w:rFonts w:hint="eastAsia" w:ascii="楷体" w:hAnsi="楷体" w:eastAsia="楷体" w:cs="楷体_GB2312"/>
          <w:b/>
        </w:rPr>
        <w:t xml:space="preserve">    </w:t>
      </w:r>
      <w:r>
        <w:rPr>
          <w:rFonts w:hint="eastAsia" w:ascii="仿宋_GB2312" w:hAnsi="仿宋_GB2312" w:eastAsia="仿宋_GB2312" w:cs="仿宋_GB2312"/>
        </w:rPr>
        <w:t>国有资本经营预算收入23,417万元，去年同期无此收入，调出一般公共预算支出23,417万元，收支相抵，实现平衡。</w:t>
      </w:r>
    </w:p>
    <w:p w14:paraId="55ABA378">
      <w:pPr>
        <w:adjustRightInd w:val="0"/>
        <w:snapToGrid w:val="0"/>
        <w:spacing w:line="580" w:lineRule="exact"/>
        <w:ind w:firstLine="474" w:firstLineChars="150"/>
        <w:rPr>
          <w:rFonts w:ascii="仿宋" w:hAnsi="仿宋" w:eastAsia="仿宋" w:cs="仿宋_GB2312"/>
        </w:rPr>
      </w:pPr>
      <w:r>
        <w:rPr>
          <w:rFonts w:hint="eastAsia" w:ascii="楷体" w:hAnsi="楷体" w:eastAsia="楷体" w:cs="楷体_GB2312"/>
          <w:b/>
        </w:rPr>
        <w:t>（四</w:t>
      </w:r>
      <w:r>
        <w:rPr>
          <w:rFonts w:ascii="楷体" w:hAnsi="楷体" w:eastAsia="楷体" w:cs="楷体_GB2312"/>
          <w:b/>
        </w:rPr>
        <w:t>）社会保险基金完成情况</w:t>
      </w:r>
    </w:p>
    <w:p w14:paraId="19E338BE">
      <w:pPr>
        <w:adjustRightInd w:val="0"/>
        <w:snapToGrid w:val="0"/>
        <w:spacing w:line="580" w:lineRule="exact"/>
        <w:ind w:firstLine="632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社会保险基金收入总计1,037万元，其中：基金收入264万元，财政补贴570万元，转移收入77万元，上年结余126万元；社会保险基金支出总计1,037万元,其中：机关事业保险基金支出535万元，转移支出352万元，结转下年支出150万元。收支相抵，实现平衡。</w:t>
      </w:r>
    </w:p>
    <w:p w14:paraId="0A613E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474" w:firstLineChars="150"/>
        <w:textAlignment w:val="auto"/>
        <w:rPr>
          <w:rFonts w:ascii="楷体" w:hAnsi="楷体" w:eastAsia="楷体" w:cs="楷体_GB2312"/>
          <w:b/>
        </w:rPr>
      </w:pPr>
      <w:r>
        <w:rPr>
          <w:rFonts w:hint="eastAsia" w:ascii="楷体" w:hAnsi="楷体" w:eastAsia="楷体" w:cs="楷体_GB2312"/>
          <w:b/>
        </w:rPr>
        <w:t>（</w:t>
      </w:r>
      <w:r>
        <w:rPr>
          <w:rFonts w:hint="eastAsia" w:ascii="楷体" w:hAnsi="楷体" w:eastAsia="楷体" w:cs="楷体_GB2312"/>
          <w:b/>
          <w:lang w:val="en-US" w:eastAsia="zh-CN"/>
        </w:rPr>
        <w:t>五</w:t>
      </w:r>
      <w:r>
        <w:rPr>
          <w:rFonts w:hint="eastAsia" w:ascii="楷体" w:hAnsi="楷体" w:eastAsia="楷体" w:cs="楷体_GB2312"/>
          <w:b/>
        </w:rPr>
        <w:t>）政府</w:t>
      </w:r>
      <w:r>
        <w:rPr>
          <w:rFonts w:ascii="楷体" w:hAnsi="楷体" w:eastAsia="楷体" w:cs="楷体_GB2312"/>
          <w:b/>
        </w:rPr>
        <w:t>债务情况</w:t>
      </w:r>
    </w:p>
    <w:p w14:paraId="0130A0A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2024发行政府新增债券11.87亿元，其中：一般债券1.6亿元，专项债券10.27亿元。截至目前高新区政府债务余额68.05亿元，其中：一般债券余额20.08亿元，专项债券余额47.97亿元。</w:t>
      </w:r>
    </w:p>
    <w:p w14:paraId="197D9C48">
      <w:pPr>
        <w:adjustRightInd w:val="0"/>
        <w:snapToGrid w:val="0"/>
        <w:spacing w:line="580" w:lineRule="exact"/>
        <w:ind w:firstLine="632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二</w:t>
      </w:r>
      <w:r>
        <w:rPr>
          <w:rFonts w:ascii="黑体" w:hAnsi="黑体" w:eastAsia="黑体"/>
        </w:rPr>
        <w:t>、</w:t>
      </w:r>
      <w:r>
        <w:rPr>
          <w:rFonts w:hint="eastAsia" w:ascii="黑体" w:hAnsi="黑体" w:eastAsia="黑体"/>
        </w:rPr>
        <w:t>2024年重点</w:t>
      </w:r>
      <w:r>
        <w:rPr>
          <w:rFonts w:ascii="黑体" w:hAnsi="黑体" w:eastAsia="黑体"/>
        </w:rPr>
        <w:t>工作情况</w:t>
      </w:r>
    </w:p>
    <w:p w14:paraId="74A71C48">
      <w:pPr>
        <w:adjustRightInd w:val="0"/>
        <w:snapToGrid w:val="0"/>
        <w:spacing w:line="580" w:lineRule="exact"/>
        <w:ind w:firstLine="632" w:firstLineChars="200"/>
        <w:rPr>
          <w:rFonts w:ascii="楷体" w:hAnsi="楷体" w:eastAsia="楷体"/>
        </w:rPr>
      </w:pPr>
      <w:r>
        <w:rPr>
          <w:rFonts w:hint="eastAsia" w:ascii="楷体" w:hAnsi="楷体" w:eastAsia="楷体"/>
          <w:b/>
          <w:bCs/>
        </w:rPr>
        <w:t>（</w:t>
      </w:r>
      <w:r>
        <w:rPr>
          <w:rFonts w:ascii="楷体" w:hAnsi="楷体" w:eastAsia="楷体"/>
          <w:b/>
          <w:bCs/>
        </w:rPr>
        <w:t>一）</w:t>
      </w:r>
      <w:r>
        <w:rPr>
          <w:rFonts w:hint="eastAsia" w:ascii="楷体" w:hAnsi="楷体" w:eastAsia="楷体"/>
          <w:b/>
          <w:bCs/>
        </w:rPr>
        <w:t>全力组织各项收入，持续做大财政“蛋糕”。</w:t>
      </w:r>
    </w:p>
    <w:p w14:paraId="0C168E55">
      <w:pPr>
        <w:adjustRightInd w:val="0"/>
        <w:snapToGrid w:val="0"/>
        <w:spacing w:line="560" w:lineRule="exact"/>
        <w:ind w:firstLine="632" w:firstLineChars="200"/>
        <w:rPr>
          <w:rFonts w:ascii="仿宋_GB2312" w:hAnsi="仿宋_GB2312" w:eastAsia="仿宋_GB2312" w:cs="仿宋_GB2312"/>
        </w:rPr>
      </w:pPr>
      <w:r>
        <w:rPr>
          <w:rFonts w:hint="eastAsia" w:ascii="仿宋" w:hAnsi="仿宋" w:eastAsia="仿宋" w:cs="仿宋"/>
          <w:b/>
          <w:bCs/>
        </w:rPr>
        <w:t>一是</w:t>
      </w:r>
      <w:r>
        <w:rPr>
          <w:rFonts w:hint="eastAsia" w:ascii="仿宋_GB2312" w:hAnsi="仿宋_GB2312" w:eastAsia="仿宋_GB2312" w:cs="仿宋_GB2312"/>
        </w:rPr>
        <w:t>紧盯收入预期抓征管。紧紧围绕年初制定的收入目标，进一步细化征管措施，强化督导检查，努力实现挖潜增收，确保做到依法征收、应收尽收和持续均衡入库。</w:t>
      </w:r>
      <w:r>
        <w:rPr>
          <w:rFonts w:hint="eastAsia" w:ascii="仿宋_GB2312" w:hAnsi="仿宋_GB2312" w:eastAsia="仿宋_GB2312" w:cs="仿宋_GB2312"/>
          <w:b/>
          <w:bCs/>
        </w:rPr>
        <w:t>二是</w:t>
      </w:r>
      <w:r>
        <w:rPr>
          <w:rFonts w:hint="eastAsia" w:ascii="仿宋_GB2312" w:hAnsi="仿宋_GB2312" w:eastAsia="仿宋_GB2312" w:cs="仿宋_GB2312"/>
        </w:rPr>
        <w:t>强化重点税源分析监控。紧紧围绕重点行业、重点税种、重点企业、重点项目，多渠道开展税源调查分析，摸清重点税源和潜在税源，确保应收尽收。</w:t>
      </w:r>
      <w:r>
        <w:rPr>
          <w:rFonts w:hint="eastAsia" w:ascii="仿宋_GB2312" w:hAnsi="仿宋_GB2312" w:eastAsia="仿宋_GB2312" w:cs="仿宋_GB2312"/>
          <w:b/>
          <w:bCs/>
        </w:rPr>
        <w:t>三是</w:t>
      </w:r>
      <w:r>
        <w:rPr>
          <w:rFonts w:hint="eastAsia" w:ascii="仿宋_GB2312" w:hAnsi="仿宋_GB2312" w:eastAsia="仿宋_GB2312" w:cs="仿宋_GB2312"/>
        </w:rPr>
        <w:t>与税务部门紧密沟通协调，持续优化完善组织税费收入保障机制，夯实征管基础，丰富征管举措，常态化开展日常税收评估，实时掌握税源变化情况和收入进度情况，牢牢把握组织收入主动权。</w:t>
      </w:r>
    </w:p>
    <w:p w14:paraId="332822EF">
      <w:pPr>
        <w:adjustRightInd w:val="0"/>
        <w:snapToGrid w:val="0"/>
        <w:spacing w:line="560" w:lineRule="exact"/>
        <w:ind w:firstLine="632" w:firstLineChars="200"/>
        <w:rPr>
          <w:rFonts w:ascii="楷体" w:hAnsi="楷体" w:eastAsia="楷体"/>
          <w:b/>
          <w:bCs/>
        </w:rPr>
      </w:pPr>
      <w:r>
        <w:rPr>
          <w:rFonts w:hint="eastAsia" w:ascii="楷体" w:hAnsi="楷体" w:eastAsia="楷体"/>
          <w:b/>
          <w:bCs/>
        </w:rPr>
        <w:t>（</w:t>
      </w:r>
      <w:r>
        <w:rPr>
          <w:rFonts w:ascii="楷体" w:hAnsi="楷体" w:eastAsia="楷体"/>
          <w:b/>
          <w:bCs/>
        </w:rPr>
        <w:t>二）</w:t>
      </w:r>
      <w:r>
        <w:rPr>
          <w:rFonts w:hint="eastAsia" w:ascii="楷体" w:hAnsi="楷体" w:eastAsia="楷体"/>
          <w:b/>
          <w:bCs/>
        </w:rPr>
        <w:t>全力严控预算执行，有保有压精打细算。</w:t>
      </w:r>
    </w:p>
    <w:p w14:paraId="79015960">
      <w:pPr>
        <w:adjustRightInd w:val="0"/>
        <w:snapToGrid w:val="0"/>
        <w:spacing w:line="560" w:lineRule="exact"/>
        <w:ind w:firstLine="632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结合高新区发展实际，以保项目、保债务、保运转为核心，统筹安排支出计划。持续加强财政库款运行监测和统计分析，及时掌握库款流入、流出、余额总体变化情况。针对财政库款变动情况做好预测和预判，科学配置和有效利用财政国库资金。在可支配财力调配空间异常困难的情况下，严格落实过紧日子要求，坚持量入为出、精打细算，进一步压减非急需、非刚性支出，安排三保支出1,800万元，三公经费同比下降50.7%。</w:t>
      </w:r>
    </w:p>
    <w:p w14:paraId="3E1BAA82">
      <w:pPr>
        <w:adjustRightInd w:val="0"/>
        <w:snapToGrid w:val="0"/>
        <w:spacing w:line="560" w:lineRule="exact"/>
        <w:ind w:firstLine="632" w:firstLineChars="200"/>
        <w:rPr>
          <w:rFonts w:ascii="楷体" w:hAnsi="楷体" w:eastAsia="楷体"/>
          <w:b/>
          <w:bCs/>
        </w:rPr>
      </w:pPr>
      <w:r>
        <w:rPr>
          <w:rFonts w:hint="eastAsia" w:ascii="楷体" w:hAnsi="楷体" w:eastAsia="楷体"/>
          <w:b/>
          <w:bCs/>
        </w:rPr>
        <w:t>（</w:t>
      </w:r>
      <w:r>
        <w:rPr>
          <w:rFonts w:ascii="楷体" w:hAnsi="楷体" w:eastAsia="楷体"/>
          <w:b/>
          <w:bCs/>
        </w:rPr>
        <w:t>三）</w:t>
      </w:r>
      <w:r>
        <w:rPr>
          <w:rFonts w:hint="eastAsia" w:ascii="楷体" w:hAnsi="楷体" w:eastAsia="楷体"/>
          <w:b/>
          <w:bCs/>
        </w:rPr>
        <w:t>围绕重点项目建设，全力向上争取资金。</w:t>
      </w:r>
    </w:p>
    <w:p w14:paraId="01BBA793">
      <w:pPr>
        <w:adjustRightInd w:val="0"/>
        <w:snapToGrid w:val="0"/>
        <w:spacing w:line="560" w:lineRule="exact"/>
        <w:ind w:firstLine="632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为用足用好国家、省、市各项支持经济企稳回升政策，财政部门立足岗位职能，积极与项目单位协同配合，加大项目包装与申报力度，</w:t>
      </w:r>
      <w:r>
        <w:rPr>
          <w:rFonts w:hint="eastAsia" w:ascii="仿宋_GB2312" w:hAnsi="仿宋_GB2312" w:eastAsia="仿宋_GB2312" w:cs="仿宋_GB2312"/>
          <w:lang w:eastAsia="zh-CN"/>
        </w:rPr>
        <w:t>截至目前</w:t>
      </w:r>
      <w:r>
        <w:rPr>
          <w:rFonts w:hint="eastAsia" w:ascii="仿宋_GB2312" w:hAnsi="仿宋_GB2312" w:eastAsia="仿宋_GB2312" w:cs="仿宋_GB2312"/>
        </w:rPr>
        <w:t>，累计入库项目12个，争取地方政府债券资金11.88亿元。其中：申报入库“张仲景大街工程”、“木兰路道路工程”、“医疗器械园标准化厂房建设项目”、“沈溪新城基础设施-汇辽路项目”4个项目，争取到地方政府债券资金8.28亿元；沈溪新城基础设施（一期）道路工程第二标段项目，争取到地方政府债券资金1亿元；高新区绿色原料药产业园依托申报的工业污水处理厂（一期）、基础设施配套等2个专项债项目，争取到地方政府债券资金1亿元，助力项目建设；同时争取到1.6亿元债券资金，用于偿还工程款。</w:t>
      </w:r>
    </w:p>
    <w:p w14:paraId="2E6DC537">
      <w:pPr>
        <w:adjustRightInd w:val="0"/>
        <w:snapToGrid w:val="0"/>
        <w:spacing w:line="560" w:lineRule="exact"/>
        <w:ind w:firstLine="632" w:firstLineChars="200"/>
        <w:rPr>
          <w:rFonts w:ascii="楷体" w:hAnsi="楷体" w:eastAsia="楷体"/>
        </w:rPr>
      </w:pPr>
      <w:r>
        <w:rPr>
          <w:rFonts w:hint="eastAsia" w:ascii="楷体" w:hAnsi="楷体" w:eastAsia="楷体"/>
          <w:b/>
          <w:bCs/>
        </w:rPr>
        <w:t>（</w:t>
      </w:r>
      <w:r>
        <w:rPr>
          <w:rFonts w:ascii="楷体" w:hAnsi="楷体" w:eastAsia="楷体"/>
          <w:b/>
          <w:bCs/>
        </w:rPr>
        <w:t>四）</w:t>
      </w:r>
      <w:r>
        <w:rPr>
          <w:rFonts w:hint="eastAsia" w:ascii="楷体" w:hAnsi="楷体" w:eastAsia="楷体"/>
          <w:b/>
          <w:bCs/>
        </w:rPr>
        <w:t>积极筹措偿债资金，严守债务风险红线。</w:t>
      </w:r>
    </w:p>
    <w:p w14:paraId="0349847E">
      <w:pPr>
        <w:adjustRightInd w:val="0"/>
        <w:snapToGrid w:val="0"/>
        <w:spacing w:line="560" w:lineRule="exact"/>
        <w:ind w:firstLine="632" w:firstLineChars="200"/>
        <w:rPr>
          <w:rFonts w:ascii="仿宋" w:hAnsi="仿宋" w:eastAsia="仿宋" w:cs="仿宋"/>
        </w:rPr>
      </w:pPr>
      <w:r>
        <w:rPr>
          <w:rFonts w:hint="eastAsia" w:ascii="仿宋_GB2312" w:hAnsi="仿宋_GB2312" w:eastAsia="仿宋_GB2312" w:cs="仿宋_GB2312"/>
        </w:rPr>
        <w:t>2024年，高新区预计到期债务本息合计为24.45亿元，在收支矛盾日益突出的不利局面下，财政部门认真厘清偿债主体责任，全力以赴筹措各类偿债资金，积极申请再融资债券额度，落实偿债资金来源，确保及时足额偿还到期债券本息，</w:t>
      </w:r>
      <w:r>
        <w:rPr>
          <w:rFonts w:hint="eastAsia" w:ascii="仿宋_GB2312" w:hAnsi="仿宋_GB2312" w:eastAsia="仿宋_GB2312" w:cs="仿宋_GB2312"/>
          <w:lang w:eastAsia="zh-CN"/>
        </w:rPr>
        <w:t>截至目前</w:t>
      </w:r>
      <w:r>
        <w:rPr>
          <w:rFonts w:hint="eastAsia" w:ascii="仿宋_GB2312" w:hAnsi="仿宋_GB2312" w:eastAsia="仿宋_GB2312" w:cs="仿宋_GB2312"/>
        </w:rPr>
        <w:t>，已完成年度债务化解任务。另外，争取到化债资金10.88亿，化解内网高息贷款9.28亿，偿还拖欠工程款1.6亿。在完成今年政府债务本息偿还任务的同时，财政部门提前谋划，现已完成2025年债务还本付息情况测算工作，并就偿债资金渠道做出了规划和分解，组织各部门通过财政资金、土地出让金、催缴企业基础设施配套费、国有资产资源盘活、企业经营性收益等方式研究化解债务资金来源，按要求完成“一债一策”化债方案。</w:t>
      </w:r>
    </w:p>
    <w:p w14:paraId="27FC70B1">
      <w:pPr>
        <w:adjustRightInd w:val="0"/>
        <w:snapToGrid w:val="0"/>
        <w:spacing w:line="560" w:lineRule="exact"/>
        <w:ind w:firstLine="632" w:firstLineChars="200"/>
        <w:rPr>
          <w:rFonts w:ascii="楷体" w:hAnsi="楷体" w:eastAsia="楷体"/>
          <w:b/>
          <w:bCs/>
        </w:rPr>
      </w:pPr>
      <w:r>
        <w:rPr>
          <w:rFonts w:hint="eastAsia" w:ascii="楷体" w:hAnsi="楷体" w:eastAsia="楷体"/>
          <w:b/>
          <w:bCs/>
        </w:rPr>
        <w:t>（</w:t>
      </w:r>
      <w:r>
        <w:rPr>
          <w:rFonts w:ascii="楷体" w:hAnsi="楷体" w:eastAsia="楷体"/>
          <w:b/>
          <w:bCs/>
        </w:rPr>
        <w:t>五）</w:t>
      </w:r>
      <w:r>
        <w:rPr>
          <w:rFonts w:hint="eastAsia" w:ascii="楷体" w:hAnsi="楷体" w:eastAsia="楷体"/>
          <w:b/>
          <w:bCs/>
        </w:rPr>
        <w:t>提升资金使用绩效，强化财政资金保障。</w:t>
      </w:r>
    </w:p>
    <w:p w14:paraId="292598B0">
      <w:pPr>
        <w:adjustRightInd w:val="0"/>
        <w:snapToGrid w:val="0"/>
        <w:spacing w:line="560" w:lineRule="exact"/>
        <w:ind w:firstLine="632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围绕不断提升预算绩效管理，财政部门进一步强化预算绩效管理方式。通过开展预算绩效全流程培训，整理更新绩效指标库，不断改进与强化本区预算绩效管理水平。2024年部门整体和项目绩效目标实行全覆盖，其中：部门整体绩效2个，预算金额1,909万元；项目绩效53个，预算金额51,526万元；组织部门对2023年度部门整体及项目支出进行自评，将评价结果作为安排预算的重要依据；通过开展2024年绩效监控，同各部门整理更新符合本区实际的绩效考核指标755条，并同步更新到绩效管理系统，以提高预算绩效管理的科学性，为部门编报预算、实施绩效管理、开展绩效分析提供有力支撑。</w:t>
      </w:r>
    </w:p>
    <w:p w14:paraId="12EDC77C">
      <w:pPr>
        <w:adjustRightInd w:val="0"/>
        <w:snapToGrid w:val="0"/>
        <w:spacing w:line="580" w:lineRule="exact"/>
        <w:rPr>
          <w:rFonts w:ascii="黑体" w:hAnsi="黑体" w:eastAsia="黑体"/>
        </w:rPr>
      </w:pPr>
      <w:r>
        <w:rPr>
          <w:rFonts w:hint="eastAsia" w:ascii="仿宋" w:hAnsi="仿宋" w:eastAsia="仿宋"/>
          <w:b/>
        </w:rPr>
        <w:t xml:space="preserve">    </w:t>
      </w:r>
      <w:r>
        <w:rPr>
          <w:rFonts w:hint="eastAsia" w:ascii="黑体" w:hAnsi="黑体" w:eastAsia="黑体"/>
        </w:rPr>
        <w:t>三</w:t>
      </w:r>
      <w:r>
        <w:rPr>
          <w:rFonts w:ascii="黑体" w:hAnsi="黑体" w:eastAsia="黑体"/>
        </w:rPr>
        <w:t>、</w:t>
      </w:r>
      <w:r>
        <w:rPr>
          <w:rFonts w:hint="eastAsia" w:ascii="黑体" w:hAnsi="黑体" w:eastAsia="黑体"/>
        </w:rPr>
        <w:t>2025</w:t>
      </w:r>
      <w:r>
        <w:rPr>
          <w:rFonts w:ascii="黑体" w:hAnsi="黑体" w:eastAsia="黑体"/>
        </w:rPr>
        <w:t>年</w:t>
      </w:r>
      <w:r>
        <w:rPr>
          <w:rFonts w:hint="eastAsia" w:ascii="黑体" w:hAnsi="黑体" w:eastAsia="黑体"/>
        </w:rPr>
        <w:t>预算草案</w:t>
      </w:r>
    </w:p>
    <w:p w14:paraId="584433FE">
      <w:pPr>
        <w:adjustRightInd w:val="0"/>
        <w:snapToGrid w:val="0"/>
        <w:spacing w:line="580" w:lineRule="exact"/>
        <w:ind w:firstLine="632" w:firstLineChars="200"/>
        <w:rPr>
          <w:rFonts w:ascii="楷体" w:hAnsi="楷体" w:eastAsia="楷体" w:cs="楷体_GB2312"/>
          <w:b/>
        </w:rPr>
      </w:pPr>
      <w:r>
        <w:rPr>
          <w:rFonts w:hint="eastAsia" w:ascii="楷体" w:hAnsi="楷体" w:eastAsia="楷体" w:cs="楷体_GB2312"/>
          <w:b/>
        </w:rPr>
        <w:t>（一）一般公共预算草案</w:t>
      </w:r>
    </w:p>
    <w:p w14:paraId="4B60C29F">
      <w:pPr>
        <w:adjustRightInd w:val="0"/>
        <w:snapToGrid w:val="0"/>
        <w:spacing w:line="560" w:lineRule="exact"/>
        <w:ind w:firstLine="632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全区一般公共预算收入安排65,530万元，增长10%,加上上级补助9,058万元、债务转贷收入37,584万元、上年结转20,127万元，总收入为132,299万元。全区一般公共预算支出58,599万元，同</w:t>
      </w:r>
      <w:r>
        <w:rPr>
          <w:rFonts w:ascii="仿宋_GB2312" w:hAnsi="仿宋_GB2312" w:eastAsia="仿宋_GB2312" w:cs="仿宋_GB2312"/>
        </w:rPr>
        <w:t>比增加81.7%</w:t>
      </w:r>
      <w:r>
        <w:rPr>
          <w:rFonts w:hint="eastAsia" w:ascii="仿宋_GB2312" w:hAnsi="仿宋_GB2312" w:eastAsia="仿宋_GB2312" w:cs="仿宋_GB2312"/>
        </w:rPr>
        <w:t>，加上上解支出31,933万元、债务还本支出41,767万元，总支出为132,299万元,实现收支平衡。</w:t>
      </w:r>
    </w:p>
    <w:p w14:paraId="2BD3ED79">
      <w:pPr>
        <w:adjustRightInd w:val="0"/>
        <w:snapToGrid w:val="0"/>
        <w:spacing w:line="580" w:lineRule="exact"/>
        <w:ind w:firstLine="632" w:firstLineChars="200"/>
        <w:rPr>
          <w:rFonts w:ascii="楷体" w:hAnsi="楷体" w:eastAsia="楷体" w:cs="楷体_GB2312"/>
          <w:b/>
        </w:rPr>
      </w:pPr>
      <w:r>
        <w:rPr>
          <w:rFonts w:hint="eastAsia" w:ascii="楷体" w:hAnsi="楷体" w:eastAsia="楷体" w:cs="楷体_GB2312"/>
          <w:b/>
        </w:rPr>
        <w:t>（二）</w:t>
      </w:r>
      <w:r>
        <w:rPr>
          <w:rFonts w:ascii="楷体" w:hAnsi="楷体" w:eastAsia="楷体" w:cs="楷体_GB2312"/>
          <w:b/>
        </w:rPr>
        <w:t>政府性基金</w:t>
      </w:r>
      <w:r>
        <w:rPr>
          <w:rFonts w:hint="eastAsia" w:ascii="楷体" w:hAnsi="楷体" w:eastAsia="楷体" w:cs="楷体_GB2312"/>
          <w:b/>
        </w:rPr>
        <w:t>预算草案</w:t>
      </w:r>
    </w:p>
    <w:p w14:paraId="7A37E777">
      <w:pPr>
        <w:adjustRightInd w:val="0"/>
        <w:snapToGrid w:val="0"/>
        <w:spacing w:line="560" w:lineRule="exact"/>
        <w:ind w:firstLine="632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政府性基金收入安排24,500万元，同</w:t>
      </w:r>
      <w:r>
        <w:rPr>
          <w:rFonts w:ascii="仿宋_GB2312" w:hAnsi="仿宋_GB2312" w:eastAsia="仿宋_GB2312" w:cs="仿宋_GB2312"/>
        </w:rPr>
        <w:t>比增加346.6%</w:t>
      </w:r>
      <w:r>
        <w:rPr>
          <w:rFonts w:hint="eastAsia" w:ascii="仿宋_GB2312" w:hAnsi="仿宋_GB2312" w:eastAsia="仿宋_GB2312" w:cs="仿宋_GB2312"/>
        </w:rPr>
        <w:t>，加上上年结转7,815万元，总收入为32,315万元。政府性基金支出安排31,628万元，同</w:t>
      </w:r>
      <w:r>
        <w:rPr>
          <w:rFonts w:ascii="仿宋_GB2312" w:hAnsi="仿宋_GB2312" w:eastAsia="仿宋_GB2312" w:cs="仿宋_GB2312"/>
        </w:rPr>
        <w:t>比增加</w:t>
      </w:r>
      <w:r>
        <w:rPr>
          <w:rFonts w:hint="eastAsia" w:ascii="仿宋_GB2312" w:hAnsi="仿宋_GB2312" w:eastAsia="仿宋_GB2312" w:cs="仿宋_GB2312"/>
        </w:rPr>
        <w:t>49.4%，加上上解支出643万元、年终滚存结余44万元，总支出为32,315万元，实现收支平衡。</w:t>
      </w:r>
    </w:p>
    <w:p w14:paraId="173F79F9">
      <w:pPr>
        <w:adjustRightInd w:val="0"/>
        <w:snapToGrid w:val="0"/>
        <w:spacing w:line="580" w:lineRule="exact"/>
        <w:ind w:firstLine="632" w:firstLineChars="200"/>
        <w:rPr>
          <w:rFonts w:ascii="楷体" w:hAnsi="楷体" w:eastAsia="楷体" w:cs="楷体_GB2312"/>
          <w:b/>
        </w:rPr>
      </w:pPr>
      <w:r>
        <w:rPr>
          <w:rFonts w:hint="eastAsia" w:ascii="楷体" w:hAnsi="楷体" w:eastAsia="楷体" w:cs="楷体_GB2312"/>
          <w:b/>
        </w:rPr>
        <w:t>（三）社会保险</w:t>
      </w:r>
      <w:r>
        <w:rPr>
          <w:rFonts w:ascii="楷体" w:hAnsi="楷体" w:eastAsia="楷体" w:cs="楷体_GB2312"/>
          <w:b/>
        </w:rPr>
        <w:t>基金</w:t>
      </w:r>
      <w:r>
        <w:rPr>
          <w:rFonts w:hint="eastAsia" w:ascii="楷体" w:hAnsi="楷体" w:eastAsia="楷体" w:cs="楷体_GB2312"/>
          <w:b/>
        </w:rPr>
        <w:t>预算草案</w:t>
      </w:r>
    </w:p>
    <w:p w14:paraId="1656FB0A">
      <w:pPr>
        <w:adjustRightInd w:val="0"/>
        <w:snapToGrid w:val="0"/>
        <w:spacing w:line="560" w:lineRule="exact"/>
        <w:ind w:firstLine="632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2025年，社会保险基金收入安排1,024万元，同比上涨12.3%。社会保险基金支出安排950万元，同比下降7.2%。</w:t>
      </w:r>
    </w:p>
    <w:p w14:paraId="16149462">
      <w:pPr>
        <w:adjustRightInd w:val="0"/>
        <w:snapToGrid w:val="0"/>
        <w:spacing w:line="580" w:lineRule="exact"/>
        <w:ind w:firstLine="632" w:firstLineChars="200"/>
        <w:rPr>
          <w:rFonts w:ascii="黑体" w:hAnsi="黑体" w:eastAsia="黑体" w:cs="黑体"/>
          <w:bCs/>
        </w:rPr>
      </w:pPr>
      <w:r>
        <w:rPr>
          <w:rFonts w:hint="eastAsia" w:ascii="黑体" w:hAnsi="黑体" w:eastAsia="黑体" w:cs="黑体"/>
          <w:bCs/>
        </w:rPr>
        <w:t>四、</w:t>
      </w:r>
      <w:r>
        <w:rPr>
          <w:rFonts w:hint="eastAsia" w:ascii="黑体" w:hAnsi="黑体" w:eastAsia="黑体"/>
          <w:bCs/>
          <w:color w:val="000000"/>
        </w:rPr>
        <w:t>2025</w:t>
      </w:r>
      <w:r>
        <w:rPr>
          <w:rFonts w:ascii="黑体" w:hAnsi="黑体" w:eastAsia="黑体"/>
          <w:bCs/>
          <w:color w:val="000000"/>
        </w:rPr>
        <w:t>年</w:t>
      </w:r>
      <w:r>
        <w:rPr>
          <w:rFonts w:hint="eastAsia" w:ascii="黑体" w:hAnsi="黑体" w:eastAsia="黑体"/>
          <w:bCs/>
          <w:color w:val="000000"/>
        </w:rPr>
        <w:t>重点</w:t>
      </w:r>
      <w:r>
        <w:rPr>
          <w:rFonts w:ascii="黑体" w:hAnsi="黑体" w:eastAsia="黑体"/>
          <w:bCs/>
          <w:color w:val="000000"/>
        </w:rPr>
        <w:t>工作任务</w:t>
      </w:r>
    </w:p>
    <w:p w14:paraId="4D8ADF41">
      <w:pPr>
        <w:adjustRightInd w:val="0"/>
        <w:snapToGrid w:val="0"/>
        <w:spacing w:line="560" w:lineRule="exact"/>
        <w:ind w:firstLine="632" w:firstLineChars="200"/>
        <w:rPr>
          <w:rFonts w:ascii="楷体" w:hAnsi="楷体" w:eastAsia="楷体" w:cs="楷体_GB2312"/>
          <w:b/>
        </w:rPr>
      </w:pPr>
      <w:r>
        <w:rPr>
          <w:rFonts w:hint="eastAsia" w:ascii="楷体" w:hAnsi="楷体" w:eastAsia="楷体" w:cs="楷体_GB2312"/>
          <w:b/>
        </w:rPr>
        <w:t>（一）全力以赴抓收入，确保财力稳定持续增长。</w:t>
      </w:r>
    </w:p>
    <w:p w14:paraId="01855C6D">
      <w:pPr>
        <w:adjustRightInd w:val="0"/>
        <w:snapToGrid w:val="0"/>
        <w:spacing w:line="560" w:lineRule="exact"/>
        <w:ind w:firstLine="632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以“四精”为抓手，加大资金统筹力度，调整优化收入结构，加强预算编制管理，提高财政收入质量，实现一般公共预算收入增幅不低于10%。一是强化财政收入征管，持续培育税收增长点，全力支持税务部门依法依规组织收入，夯实收入持续增长基础；二是积极挖掘非税收入增长潜力，盘活各类存量资金资源，加强财政资源统筹管理，实现资源资产价值化；三是全力争取资金支持，用好各类财政工具，保持与上级财政部门密切沟通，全力争取一般债、专项债，提高重点项目保障能力。</w:t>
      </w:r>
    </w:p>
    <w:p w14:paraId="4226EA5E">
      <w:pPr>
        <w:adjustRightInd w:val="0"/>
        <w:snapToGrid w:val="0"/>
        <w:spacing w:line="560" w:lineRule="exact"/>
        <w:ind w:firstLine="632" w:firstLineChars="200"/>
        <w:rPr>
          <w:rFonts w:ascii="楷体" w:hAnsi="楷体" w:eastAsia="楷体" w:cs="楷体_GB2312"/>
          <w:b/>
        </w:rPr>
      </w:pPr>
      <w:r>
        <w:rPr>
          <w:rFonts w:hint="eastAsia" w:ascii="楷体" w:hAnsi="楷体" w:eastAsia="楷体" w:cs="楷体_GB2312"/>
          <w:b/>
        </w:rPr>
        <w:t>（二）全力以赴保支出，发挥财政资金使用效益。</w:t>
      </w:r>
    </w:p>
    <w:p w14:paraId="07A6EF31">
      <w:pPr>
        <w:adjustRightInd w:val="0"/>
        <w:snapToGrid w:val="0"/>
        <w:spacing w:line="560" w:lineRule="exact"/>
        <w:ind w:firstLine="632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继续坚持“有保有压”的财政资金分配机制，加大对重点项目、重点领域和刚性需求的支持力度，把有限的财政资金用在刀刃上。继续优化支出结构，“以收定支”按月科学合理制定支出计划，实施资金穿透式监管，切实避免资金闲置、使用效率低、投向不合规等问题。继续落实党政机关过紧日子要求，把严把紧预算关口，大力压减非刚性支出节约财力，确保“三保”支出足额保障到位，集中有限财力保重点、办大事，保障党工委、管委会决策部署落实。</w:t>
      </w:r>
    </w:p>
    <w:p w14:paraId="5E09DBC2">
      <w:pPr>
        <w:adjustRightInd w:val="0"/>
        <w:snapToGrid w:val="0"/>
        <w:spacing w:line="560" w:lineRule="exact"/>
        <w:ind w:firstLine="632" w:firstLineChars="200"/>
        <w:rPr>
          <w:rFonts w:ascii="楷体" w:hAnsi="楷体" w:eastAsia="楷体" w:cs="楷体_GB2312"/>
          <w:b/>
        </w:rPr>
      </w:pPr>
      <w:r>
        <w:rPr>
          <w:rFonts w:hint="eastAsia" w:ascii="楷体" w:hAnsi="楷体" w:eastAsia="楷体" w:cs="楷体_GB2312"/>
          <w:b/>
        </w:rPr>
        <w:t>（三）全力以赴防风险，按期偿付政府债务本息。</w:t>
      </w:r>
    </w:p>
    <w:p w14:paraId="0109E741">
      <w:pPr>
        <w:adjustRightInd w:val="0"/>
        <w:snapToGrid w:val="0"/>
        <w:spacing w:line="560" w:lineRule="exact"/>
        <w:ind w:firstLine="632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始终把防范化解政府债务风险作为重要政治任务，紧盯年度化债目标，确保完成年度化债任务。一是积极筹措资金按期归还各类债务到期本息；二是切实把握好国家推出的一揽子增量政策机遇，全面深入研究专项债券用于土地储备、盘活闲置存量土地、置换存量隐性债务等政策，最大程度释放政策利好，持续争取征迁欠款2.5亿元、金融机构贷款置换8.27亿元等项目化债资金支持，降低政府债务支出成本。</w:t>
      </w:r>
    </w:p>
    <w:p w14:paraId="1989F6DE">
      <w:pPr>
        <w:adjustRightInd w:val="0"/>
        <w:snapToGrid w:val="0"/>
        <w:spacing w:line="560" w:lineRule="exact"/>
        <w:ind w:firstLine="632" w:firstLineChars="200"/>
        <w:rPr>
          <w:rFonts w:ascii="楷体" w:hAnsi="楷体" w:eastAsia="楷体" w:cs="楷体_GB2312"/>
          <w:b/>
        </w:rPr>
      </w:pPr>
      <w:r>
        <w:rPr>
          <w:rFonts w:hint="eastAsia" w:ascii="楷体" w:hAnsi="楷体" w:eastAsia="楷体" w:cs="楷体_GB2312"/>
          <w:b/>
        </w:rPr>
        <w:t>（四）全力以赴强监督，确保财政资金使用安全。</w:t>
      </w:r>
    </w:p>
    <w:p w14:paraId="61C207BF">
      <w:pPr>
        <w:adjustRightInd w:val="0"/>
        <w:snapToGrid w:val="0"/>
        <w:spacing w:line="560" w:lineRule="exact"/>
        <w:ind w:firstLine="632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主动开展预算执行监督，建立健全问题整改长效机制。继续做好预算单位内控建设，探索审计监督与预算管理、绩效管理、目标考核相衔接，聚焦审计工作职能，全面提升审计监督质效；持续压紧压实审计整改主体责任，不定期召开审计整改专项会议、联席会议，开展整改回头看监督检查。坚持以推动审计查出问题有效整改、巩固和拓展审计整改效果为目标，坚持揭示问题与推动解决问题相统一，扎实推进整改提效，以高质量审计监督服务保障高新区高质量发展。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992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字体圈欣意冠黑体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字体圈欣意冠黑体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Verdana">
    <w:altName w:val="Ubuntu Light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Ubuntu Light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字体圈欣意冠黑体">
    <w:panose1 w:val="00000500000000000000"/>
    <w:charset w:val="86"/>
    <w:family w:val="auto"/>
    <w:pitch w:val="default"/>
    <w:sig w:usb0="00000003" w:usb1="080E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A47A3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4</w:t>
    </w:r>
    <w:r>
      <w:fldChar w:fldCharType="end"/>
    </w:r>
  </w:p>
  <w:p w14:paraId="16C3DF47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00E729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3</w:t>
    </w:r>
    <w:r>
      <w:fldChar w:fldCharType="end"/>
    </w:r>
  </w:p>
  <w:p w14:paraId="08EF1BA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1AA523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80F639"/>
    <w:multiLevelType w:val="singleLevel"/>
    <w:tmpl w:val="CF80F639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embedSystem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58"/>
  <w:drawingGridVerticalSpacing w:val="579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iZmEyNDk4YjJmODBhNjFkZDQ5YjllZDY2MDM0YjcifQ=="/>
  </w:docVars>
  <w:rsids>
    <w:rsidRoot w:val="00172A27"/>
    <w:rsid w:val="0000168E"/>
    <w:rsid w:val="00005D3C"/>
    <w:rsid w:val="00016D74"/>
    <w:rsid w:val="0001767B"/>
    <w:rsid w:val="00027A31"/>
    <w:rsid w:val="000412B3"/>
    <w:rsid w:val="000416C4"/>
    <w:rsid w:val="000468CF"/>
    <w:rsid w:val="00057B2B"/>
    <w:rsid w:val="00096C40"/>
    <w:rsid w:val="000A4FDA"/>
    <w:rsid w:val="000B1D97"/>
    <w:rsid w:val="000D43D9"/>
    <w:rsid w:val="000E33B7"/>
    <w:rsid w:val="000E4515"/>
    <w:rsid w:val="000E6B07"/>
    <w:rsid w:val="001165F4"/>
    <w:rsid w:val="00121BC2"/>
    <w:rsid w:val="00122721"/>
    <w:rsid w:val="00143B2F"/>
    <w:rsid w:val="00156CFB"/>
    <w:rsid w:val="0016208A"/>
    <w:rsid w:val="00166360"/>
    <w:rsid w:val="00172A27"/>
    <w:rsid w:val="00173C61"/>
    <w:rsid w:val="001B22F0"/>
    <w:rsid w:val="001B4DF4"/>
    <w:rsid w:val="001B639D"/>
    <w:rsid w:val="001C7FEE"/>
    <w:rsid w:val="001D5A6B"/>
    <w:rsid w:val="0021317C"/>
    <w:rsid w:val="00221C76"/>
    <w:rsid w:val="00232D38"/>
    <w:rsid w:val="002476B1"/>
    <w:rsid w:val="002559E6"/>
    <w:rsid w:val="00281001"/>
    <w:rsid w:val="002834F9"/>
    <w:rsid w:val="002872CF"/>
    <w:rsid w:val="002B69E6"/>
    <w:rsid w:val="002B6E25"/>
    <w:rsid w:val="002B7004"/>
    <w:rsid w:val="002B7652"/>
    <w:rsid w:val="002C083A"/>
    <w:rsid w:val="002C5F5A"/>
    <w:rsid w:val="002C7ABE"/>
    <w:rsid w:val="002D0FBD"/>
    <w:rsid w:val="002D2A8F"/>
    <w:rsid w:val="002E1832"/>
    <w:rsid w:val="002E2BE6"/>
    <w:rsid w:val="002E3148"/>
    <w:rsid w:val="002F1867"/>
    <w:rsid w:val="00302E6E"/>
    <w:rsid w:val="003041E5"/>
    <w:rsid w:val="00342871"/>
    <w:rsid w:val="003649EB"/>
    <w:rsid w:val="00366815"/>
    <w:rsid w:val="0037571D"/>
    <w:rsid w:val="003874C4"/>
    <w:rsid w:val="003936DE"/>
    <w:rsid w:val="003B54AC"/>
    <w:rsid w:val="003B6DDC"/>
    <w:rsid w:val="003D0404"/>
    <w:rsid w:val="003D1555"/>
    <w:rsid w:val="003D1E2D"/>
    <w:rsid w:val="003F4028"/>
    <w:rsid w:val="003F6BD4"/>
    <w:rsid w:val="003F6E74"/>
    <w:rsid w:val="0041148D"/>
    <w:rsid w:val="004532DD"/>
    <w:rsid w:val="004A62FA"/>
    <w:rsid w:val="004B5CAE"/>
    <w:rsid w:val="004D406F"/>
    <w:rsid w:val="004E0D14"/>
    <w:rsid w:val="004F34D3"/>
    <w:rsid w:val="00503714"/>
    <w:rsid w:val="00526CB9"/>
    <w:rsid w:val="00533F7D"/>
    <w:rsid w:val="005341E7"/>
    <w:rsid w:val="00542240"/>
    <w:rsid w:val="00561061"/>
    <w:rsid w:val="00590E8B"/>
    <w:rsid w:val="00593D9D"/>
    <w:rsid w:val="005A5086"/>
    <w:rsid w:val="005A66AF"/>
    <w:rsid w:val="005D2AE2"/>
    <w:rsid w:val="005D3100"/>
    <w:rsid w:val="005D6043"/>
    <w:rsid w:val="00604F3D"/>
    <w:rsid w:val="0062530A"/>
    <w:rsid w:val="00626FE6"/>
    <w:rsid w:val="00636726"/>
    <w:rsid w:val="006375AC"/>
    <w:rsid w:val="006410B3"/>
    <w:rsid w:val="006673CA"/>
    <w:rsid w:val="006730B9"/>
    <w:rsid w:val="006A0F8D"/>
    <w:rsid w:val="006D1BB5"/>
    <w:rsid w:val="00732C43"/>
    <w:rsid w:val="00737804"/>
    <w:rsid w:val="0074551E"/>
    <w:rsid w:val="00785EFA"/>
    <w:rsid w:val="007B3EB1"/>
    <w:rsid w:val="007C6505"/>
    <w:rsid w:val="007D1B77"/>
    <w:rsid w:val="007E1682"/>
    <w:rsid w:val="007F401E"/>
    <w:rsid w:val="007F7056"/>
    <w:rsid w:val="0080048A"/>
    <w:rsid w:val="00807D14"/>
    <w:rsid w:val="00812FCB"/>
    <w:rsid w:val="00830A38"/>
    <w:rsid w:val="00831137"/>
    <w:rsid w:val="00835244"/>
    <w:rsid w:val="00854E17"/>
    <w:rsid w:val="00875DED"/>
    <w:rsid w:val="00892ACB"/>
    <w:rsid w:val="008A396F"/>
    <w:rsid w:val="008A4D32"/>
    <w:rsid w:val="008A7255"/>
    <w:rsid w:val="008C67AD"/>
    <w:rsid w:val="008F4609"/>
    <w:rsid w:val="00913AB5"/>
    <w:rsid w:val="009154AA"/>
    <w:rsid w:val="009226E6"/>
    <w:rsid w:val="00960AD2"/>
    <w:rsid w:val="00986A58"/>
    <w:rsid w:val="00990077"/>
    <w:rsid w:val="009A54F6"/>
    <w:rsid w:val="009B4914"/>
    <w:rsid w:val="009C38A8"/>
    <w:rsid w:val="009D0206"/>
    <w:rsid w:val="009D30F3"/>
    <w:rsid w:val="009D6CF6"/>
    <w:rsid w:val="009E1F23"/>
    <w:rsid w:val="009E44F6"/>
    <w:rsid w:val="009F29BD"/>
    <w:rsid w:val="00A362C5"/>
    <w:rsid w:val="00A3789A"/>
    <w:rsid w:val="00A42943"/>
    <w:rsid w:val="00A43BE1"/>
    <w:rsid w:val="00A5035D"/>
    <w:rsid w:val="00A552F8"/>
    <w:rsid w:val="00A672AD"/>
    <w:rsid w:val="00A76A55"/>
    <w:rsid w:val="00A80410"/>
    <w:rsid w:val="00A863DF"/>
    <w:rsid w:val="00AC1FE4"/>
    <w:rsid w:val="00B02F87"/>
    <w:rsid w:val="00B26A99"/>
    <w:rsid w:val="00B6275E"/>
    <w:rsid w:val="00B70D82"/>
    <w:rsid w:val="00B854C1"/>
    <w:rsid w:val="00B878A3"/>
    <w:rsid w:val="00BA61E0"/>
    <w:rsid w:val="00BB16B6"/>
    <w:rsid w:val="00BC6B2B"/>
    <w:rsid w:val="00BD632B"/>
    <w:rsid w:val="00BF455A"/>
    <w:rsid w:val="00C0340D"/>
    <w:rsid w:val="00C42850"/>
    <w:rsid w:val="00C7417A"/>
    <w:rsid w:val="00C966D7"/>
    <w:rsid w:val="00C9734C"/>
    <w:rsid w:val="00CC7FED"/>
    <w:rsid w:val="00CE290C"/>
    <w:rsid w:val="00D22A16"/>
    <w:rsid w:val="00D243E3"/>
    <w:rsid w:val="00D40685"/>
    <w:rsid w:val="00D52439"/>
    <w:rsid w:val="00D525EE"/>
    <w:rsid w:val="00D74267"/>
    <w:rsid w:val="00D932B3"/>
    <w:rsid w:val="00DA1817"/>
    <w:rsid w:val="00DA7FBF"/>
    <w:rsid w:val="00DB3FA8"/>
    <w:rsid w:val="00DB6796"/>
    <w:rsid w:val="00DD75B1"/>
    <w:rsid w:val="00DE0D4C"/>
    <w:rsid w:val="00DE4396"/>
    <w:rsid w:val="00E32675"/>
    <w:rsid w:val="00E3455B"/>
    <w:rsid w:val="00E45006"/>
    <w:rsid w:val="00E57521"/>
    <w:rsid w:val="00E728BB"/>
    <w:rsid w:val="00E7684F"/>
    <w:rsid w:val="00E97698"/>
    <w:rsid w:val="00EA138E"/>
    <w:rsid w:val="00EC7BF3"/>
    <w:rsid w:val="00EE12D0"/>
    <w:rsid w:val="00EE3EC8"/>
    <w:rsid w:val="00EE6764"/>
    <w:rsid w:val="00EF1C70"/>
    <w:rsid w:val="00F255AB"/>
    <w:rsid w:val="00F44A00"/>
    <w:rsid w:val="00F45327"/>
    <w:rsid w:val="00F46964"/>
    <w:rsid w:val="00F55312"/>
    <w:rsid w:val="00F654D9"/>
    <w:rsid w:val="00F95329"/>
    <w:rsid w:val="00F97E86"/>
    <w:rsid w:val="00FA2DC1"/>
    <w:rsid w:val="00FA5759"/>
    <w:rsid w:val="00FC46B0"/>
    <w:rsid w:val="00FD62B1"/>
    <w:rsid w:val="00FE1949"/>
    <w:rsid w:val="018E19EA"/>
    <w:rsid w:val="04CE5ACF"/>
    <w:rsid w:val="04FF685B"/>
    <w:rsid w:val="05EB6678"/>
    <w:rsid w:val="06A26813"/>
    <w:rsid w:val="06C90C42"/>
    <w:rsid w:val="06F54AB8"/>
    <w:rsid w:val="078C301C"/>
    <w:rsid w:val="07A11279"/>
    <w:rsid w:val="08145EEF"/>
    <w:rsid w:val="09E46037"/>
    <w:rsid w:val="0A893A9D"/>
    <w:rsid w:val="0AEC4F01"/>
    <w:rsid w:val="0BA80E28"/>
    <w:rsid w:val="0BAF7A69"/>
    <w:rsid w:val="0BE366E2"/>
    <w:rsid w:val="0BE67BA2"/>
    <w:rsid w:val="0C670CE3"/>
    <w:rsid w:val="0C6746AB"/>
    <w:rsid w:val="0F7A1999"/>
    <w:rsid w:val="11C51A89"/>
    <w:rsid w:val="131D3D6B"/>
    <w:rsid w:val="15363A82"/>
    <w:rsid w:val="161501D7"/>
    <w:rsid w:val="16413C72"/>
    <w:rsid w:val="167C35DD"/>
    <w:rsid w:val="17990C4A"/>
    <w:rsid w:val="17B9676F"/>
    <w:rsid w:val="17FF44C5"/>
    <w:rsid w:val="189B455B"/>
    <w:rsid w:val="189D6D01"/>
    <w:rsid w:val="199827F9"/>
    <w:rsid w:val="1B2F12C9"/>
    <w:rsid w:val="1B527002"/>
    <w:rsid w:val="1BEF4851"/>
    <w:rsid w:val="1C6E7E6B"/>
    <w:rsid w:val="1D1D0F4A"/>
    <w:rsid w:val="1DB908BF"/>
    <w:rsid w:val="1DCF0E7A"/>
    <w:rsid w:val="1E472013"/>
    <w:rsid w:val="1EC12A25"/>
    <w:rsid w:val="1F3A2287"/>
    <w:rsid w:val="1F3F33F9"/>
    <w:rsid w:val="201E3957"/>
    <w:rsid w:val="201E74B3"/>
    <w:rsid w:val="203C3DDD"/>
    <w:rsid w:val="222409A4"/>
    <w:rsid w:val="22C32593"/>
    <w:rsid w:val="2342170A"/>
    <w:rsid w:val="24FA1705"/>
    <w:rsid w:val="26156450"/>
    <w:rsid w:val="26E25288"/>
    <w:rsid w:val="27BB5B99"/>
    <w:rsid w:val="27C04F9C"/>
    <w:rsid w:val="291122AA"/>
    <w:rsid w:val="2A0C5194"/>
    <w:rsid w:val="2B2838DB"/>
    <w:rsid w:val="2B432A94"/>
    <w:rsid w:val="2CCB2770"/>
    <w:rsid w:val="2D8D7A26"/>
    <w:rsid w:val="2DC07372"/>
    <w:rsid w:val="2E2D4A32"/>
    <w:rsid w:val="2E5E430F"/>
    <w:rsid w:val="30BC36C7"/>
    <w:rsid w:val="30C10112"/>
    <w:rsid w:val="32326DEE"/>
    <w:rsid w:val="329710ED"/>
    <w:rsid w:val="337A57EE"/>
    <w:rsid w:val="34983880"/>
    <w:rsid w:val="35357321"/>
    <w:rsid w:val="354E7B94"/>
    <w:rsid w:val="36196B72"/>
    <w:rsid w:val="36844285"/>
    <w:rsid w:val="36940077"/>
    <w:rsid w:val="369736C3"/>
    <w:rsid w:val="37174912"/>
    <w:rsid w:val="373D426B"/>
    <w:rsid w:val="37E172EC"/>
    <w:rsid w:val="39331DC9"/>
    <w:rsid w:val="3A8E4317"/>
    <w:rsid w:val="3A9E4E0A"/>
    <w:rsid w:val="3AEE244B"/>
    <w:rsid w:val="3CA510E3"/>
    <w:rsid w:val="3EFB0C93"/>
    <w:rsid w:val="40BE54DD"/>
    <w:rsid w:val="40DF2736"/>
    <w:rsid w:val="411918A4"/>
    <w:rsid w:val="418069DF"/>
    <w:rsid w:val="41AE4DE5"/>
    <w:rsid w:val="41C07FA4"/>
    <w:rsid w:val="41F14083"/>
    <w:rsid w:val="4259773D"/>
    <w:rsid w:val="426D12A3"/>
    <w:rsid w:val="42AF2661"/>
    <w:rsid w:val="42ED37BF"/>
    <w:rsid w:val="44421112"/>
    <w:rsid w:val="44986F84"/>
    <w:rsid w:val="44FA3561"/>
    <w:rsid w:val="45B803F1"/>
    <w:rsid w:val="46CC73B9"/>
    <w:rsid w:val="482407A6"/>
    <w:rsid w:val="4A1E7F2C"/>
    <w:rsid w:val="4BE34975"/>
    <w:rsid w:val="4BE77D7B"/>
    <w:rsid w:val="4C417F01"/>
    <w:rsid w:val="4C8E7E55"/>
    <w:rsid w:val="4CA71C84"/>
    <w:rsid w:val="4D043409"/>
    <w:rsid w:val="4D266807"/>
    <w:rsid w:val="4D471EEE"/>
    <w:rsid w:val="4DE95E4E"/>
    <w:rsid w:val="4E0D09E3"/>
    <w:rsid w:val="4EF237E6"/>
    <w:rsid w:val="4F192919"/>
    <w:rsid w:val="4F247D92"/>
    <w:rsid w:val="4F780D21"/>
    <w:rsid w:val="4FEF7221"/>
    <w:rsid w:val="505A265B"/>
    <w:rsid w:val="508F100C"/>
    <w:rsid w:val="510C258C"/>
    <w:rsid w:val="51251DE5"/>
    <w:rsid w:val="51C9579F"/>
    <w:rsid w:val="52E635B0"/>
    <w:rsid w:val="52E941A3"/>
    <w:rsid w:val="530F6FAB"/>
    <w:rsid w:val="539979D7"/>
    <w:rsid w:val="54F3218D"/>
    <w:rsid w:val="55D65B5E"/>
    <w:rsid w:val="55EF09CE"/>
    <w:rsid w:val="5717642E"/>
    <w:rsid w:val="59EA1005"/>
    <w:rsid w:val="5A955FE8"/>
    <w:rsid w:val="5BE920D5"/>
    <w:rsid w:val="5CF60D2A"/>
    <w:rsid w:val="5CFD7E74"/>
    <w:rsid w:val="5DB76275"/>
    <w:rsid w:val="5EAF519E"/>
    <w:rsid w:val="5F1119B5"/>
    <w:rsid w:val="5F9733B8"/>
    <w:rsid w:val="604D3927"/>
    <w:rsid w:val="607B393B"/>
    <w:rsid w:val="61A07EEB"/>
    <w:rsid w:val="620414A7"/>
    <w:rsid w:val="62504236"/>
    <w:rsid w:val="626F5370"/>
    <w:rsid w:val="62C05BCC"/>
    <w:rsid w:val="63971F5C"/>
    <w:rsid w:val="64A9528B"/>
    <w:rsid w:val="65104DB6"/>
    <w:rsid w:val="65913850"/>
    <w:rsid w:val="668965F3"/>
    <w:rsid w:val="66DA3E7F"/>
    <w:rsid w:val="679F2C3B"/>
    <w:rsid w:val="69D31FE5"/>
    <w:rsid w:val="6B0770A2"/>
    <w:rsid w:val="6B6F63E1"/>
    <w:rsid w:val="6D862B4B"/>
    <w:rsid w:val="6DD775C2"/>
    <w:rsid w:val="6E3906A3"/>
    <w:rsid w:val="6E84539A"/>
    <w:rsid w:val="6E9A5523"/>
    <w:rsid w:val="6EAB3BD4"/>
    <w:rsid w:val="6EBE77B1"/>
    <w:rsid w:val="6ECC1E99"/>
    <w:rsid w:val="6F3F6E30"/>
    <w:rsid w:val="708446DD"/>
    <w:rsid w:val="713C0FF2"/>
    <w:rsid w:val="71EE110A"/>
    <w:rsid w:val="72151633"/>
    <w:rsid w:val="72366EC6"/>
    <w:rsid w:val="73730DA8"/>
    <w:rsid w:val="739015EB"/>
    <w:rsid w:val="73AD7D7E"/>
    <w:rsid w:val="746D7F37"/>
    <w:rsid w:val="748A2E83"/>
    <w:rsid w:val="74DC1F73"/>
    <w:rsid w:val="75956A44"/>
    <w:rsid w:val="76085468"/>
    <w:rsid w:val="76CE5804"/>
    <w:rsid w:val="77D00BDD"/>
    <w:rsid w:val="781B279B"/>
    <w:rsid w:val="784A1D68"/>
    <w:rsid w:val="78E75C1A"/>
    <w:rsid w:val="79053EE1"/>
    <w:rsid w:val="7963426D"/>
    <w:rsid w:val="7A365C33"/>
    <w:rsid w:val="7A9C5DCD"/>
    <w:rsid w:val="7DBD4F7E"/>
    <w:rsid w:val="7EAD31A8"/>
    <w:rsid w:val="7FBE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tabs>
        <w:tab w:val="left" w:pos="5040"/>
      </w:tabs>
      <w:ind w:firstLine="630"/>
    </w:pPr>
    <w:rPr>
      <w:rFonts w:eastAsia="仿宋_GB2312"/>
      <w:szCs w:val="20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qFormat/>
    <w:uiPriority w:val="0"/>
  </w:style>
  <w:style w:type="character" w:customStyle="1" w:styleId="9">
    <w:name w:val="Char Char1"/>
    <w:qFormat/>
    <w:uiPriority w:val="0"/>
    <w:rPr>
      <w:rFonts w:eastAsia="仿宋_GB2312"/>
      <w:kern w:val="2"/>
      <w:sz w:val="32"/>
      <w:lang w:val="en-US" w:eastAsia="zh-CN" w:bidi="ar-SA"/>
    </w:rPr>
  </w:style>
  <w:style w:type="character" w:customStyle="1" w:styleId="10">
    <w:name w:val="neirong"/>
    <w:qFormat/>
    <w:uiPriority w:val="0"/>
  </w:style>
  <w:style w:type="character" w:customStyle="1" w:styleId="11">
    <w:name w:val="Char Char"/>
    <w:qFormat/>
    <w:uiPriority w:val="0"/>
    <w:rPr>
      <w:kern w:val="2"/>
      <w:sz w:val="18"/>
      <w:szCs w:val="18"/>
    </w:rPr>
  </w:style>
  <w:style w:type="paragraph" w:customStyle="1" w:styleId="12">
    <w:name w:val="默认段落字体 Para Char Char Char Char Char Char Char"/>
    <w:basedOn w:val="1"/>
    <w:qFormat/>
    <w:uiPriority w:val="0"/>
    <w:rPr>
      <w:rFonts w:ascii="Tahoma" w:hAnsi="Tahoma"/>
      <w:color w:val="FF0000"/>
      <w:sz w:val="24"/>
      <w:szCs w:val="20"/>
    </w:rPr>
  </w:style>
  <w:style w:type="paragraph" w:customStyle="1" w:styleId="13">
    <w:name w:val="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4">
    <w:name w:val="Char"/>
    <w:basedOn w:val="1"/>
    <w:qFormat/>
    <w:uiPriority w:val="0"/>
  </w:style>
  <w:style w:type="paragraph" w:customStyle="1" w:styleId="15">
    <w:name w:val="默认段落字体 Para Char"/>
    <w:basedOn w:val="1"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character" w:customStyle="1" w:styleId="16">
    <w:name w:val="NormalCharacter"/>
    <w:unhideWhenUsed/>
    <w:qFormat/>
    <w:uiPriority w:val="0"/>
    <w:rPr>
      <w:rFonts w:hint="defaul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3199</Words>
  <Characters>3582</Characters>
  <Lines>3</Lines>
  <Paragraphs>7</Paragraphs>
  <TotalTime>0</TotalTime>
  <ScaleCrop>false</ScaleCrop>
  <LinksUpToDate>false</LinksUpToDate>
  <CharactersWithSpaces>3596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2019-12-23T16:47:00Z</dcterms:created>
  <dc:creator>MS USER</dc:creator>
  <cp:lastModifiedBy>  </cp:lastModifiedBy>
  <cp:lastPrinted>2025-01-09T13:30:00Z</cp:lastPrinted>
  <dcterms:modified xsi:type="dcterms:W3CDTF">2026-07-30T10:05:06Z</dcterms:modified>
  <dc:title>关于本溪市2010年预算执行情况和</dc:title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C1ECDBE8438749A4A0D382948736BE9C_13</vt:lpwstr>
  </property>
  <property fmtid="{D5CDD505-2E9C-101B-9397-08002B2CF9AE}" pid="4" name="KSOTemplateDocerSaveRecord">
    <vt:lpwstr>eyJoZGlkIjoiOTBjNjQxODI1ZmIwMTVjMmFlZjk2ZThlZDkzZTYwYjIiLCJ1c2VySWQiOiIyOTQzODA1OTAifQ==</vt:lpwstr>
  </property>
</Properties>
</file>