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2E4D3">
      <w:pPr>
        <w:adjustRightInd w:val="0"/>
        <w:snapToGrid w:val="0"/>
        <w:jc w:val="center"/>
        <w:outlineLvl w:val="0"/>
        <w:rPr>
          <w:rFonts w:hint="eastAsia" w:ascii="方正小标宋_GBK" w:eastAsia="方正小标宋_GBK"/>
          <w:bCs/>
          <w:color w:val="auto"/>
          <w:sz w:val="72"/>
          <w:szCs w:val="72"/>
          <w:highlight w:val="none"/>
        </w:rPr>
      </w:pPr>
    </w:p>
    <w:p w14:paraId="03936F41">
      <w:pPr>
        <w:adjustRightInd w:val="0"/>
        <w:snapToGrid w:val="0"/>
        <w:jc w:val="center"/>
        <w:outlineLvl w:val="0"/>
        <w:rPr>
          <w:rFonts w:hint="eastAsia" w:ascii="方正小标宋_GBK" w:eastAsia="方正小标宋_GBK"/>
          <w:bCs/>
          <w:color w:val="auto"/>
          <w:sz w:val="72"/>
          <w:szCs w:val="72"/>
          <w:highlight w:val="none"/>
        </w:rPr>
      </w:pPr>
      <w:r>
        <w:rPr>
          <w:rFonts w:hint="eastAsia" w:ascii="方正小标宋_GBK" w:eastAsia="方正小标宋_GBK"/>
          <w:bCs/>
          <w:color w:val="auto"/>
          <w:sz w:val="72"/>
          <w:szCs w:val="72"/>
          <w:highlight w:val="none"/>
        </w:rPr>
        <w:t>建设项目环境影响报告表</w:t>
      </w:r>
    </w:p>
    <w:p w14:paraId="3A906A24">
      <w:pPr>
        <w:adjustRightInd w:val="0"/>
        <w:snapToGrid w:val="0"/>
        <w:spacing w:before="192" w:beforeLines="80"/>
        <w:jc w:val="center"/>
        <w:rPr>
          <w:rFonts w:hint="eastAsia" w:ascii="楷体_GB2312" w:eastAsia="楷体_GB2312"/>
          <w:bCs/>
          <w:color w:val="auto"/>
          <w:sz w:val="48"/>
          <w:szCs w:val="48"/>
          <w:highlight w:val="none"/>
        </w:rPr>
      </w:pPr>
      <w:r>
        <w:rPr>
          <w:rFonts w:hint="eastAsia" w:ascii="楷体_GB2312" w:eastAsia="楷体_GB2312"/>
          <w:bCs/>
          <w:color w:val="auto"/>
          <w:sz w:val="48"/>
          <w:szCs w:val="48"/>
          <w:highlight w:val="none"/>
        </w:rPr>
        <w:t>（污染影响类）</w:t>
      </w:r>
    </w:p>
    <w:p w14:paraId="61F36CCC">
      <w:pPr>
        <w:bidi w:val="0"/>
        <w:rPr>
          <w:color w:val="auto"/>
        </w:rPr>
      </w:pPr>
    </w:p>
    <w:p w14:paraId="691AC9E9">
      <w:pPr>
        <w:jc w:val="center"/>
        <w:rPr>
          <w:rFonts w:eastAsia="仿宋"/>
          <w:color w:val="auto"/>
          <w:sz w:val="52"/>
          <w:szCs w:val="52"/>
          <w:highlight w:val="none"/>
        </w:rPr>
      </w:pPr>
    </w:p>
    <w:p w14:paraId="58059376">
      <w:pPr>
        <w:ind w:firstLine="1040"/>
        <w:rPr>
          <w:rFonts w:eastAsia="仿宋"/>
          <w:color w:val="auto"/>
          <w:sz w:val="44"/>
          <w:szCs w:val="44"/>
          <w:highlight w:val="none"/>
        </w:rPr>
      </w:pPr>
    </w:p>
    <w:p w14:paraId="31378C0F">
      <w:pPr>
        <w:ind w:firstLine="1040"/>
        <w:rPr>
          <w:rFonts w:eastAsia="仿宋"/>
          <w:color w:val="auto"/>
          <w:sz w:val="44"/>
          <w:szCs w:val="44"/>
          <w:highlight w:val="none"/>
        </w:rPr>
      </w:pPr>
    </w:p>
    <w:p w14:paraId="66A99D00">
      <w:pPr>
        <w:ind w:firstLine="1040"/>
        <w:rPr>
          <w:rFonts w:eastAsia="仿宋"/>
          <w:color w:val="auto"/>
          <w:sz w:val="44"/>
          <w:szCs w:val="44"/>
          <w:highlight w:val="none"/>
        </w:rPr>
      </w:pPr>
    </w:p>
    <w:p w14:paraId="41A4BBC1">
      <w:pPr>
        <w:ind w:firstLine="1040"/>
        <w:rPr>
          <w:rFonts w:eastAsia="仿宋"/>
          <w:color w:val="auto"/>
          <w:sz w:val="44"/>
          <w:szCs w:val="44"/>
          <w:highlight w:val="none"/>
        </w:rPr>
      </w:pPr>
    </w:p>
    <w:p w14:paraId="098FA049">
      <w:pPr>
        <w:adjustRightInd w:val="0"/>
        <w:snapToGrid w:val="0"/>
        <w:spacing w:line="288" w:lineRule="auto"/>
        <w:ind w:left="1800" w:hanging="1800" w:hangingChars="500"/>
        <w:jc w:val="both"/>
        <w:rPr>
          <w:rFonts w:hint="default" w:ascii="仿宋_GB2312" w:eastAsia="仿宋_GB2312"/>
          <w:color w:val="auto"/>
          <w:sz w:val="36"/>
          <w:szCs w:val="36"/>
          <w:highlight w:val="none"/>
          <w:u w:val="single"/>
          <w:lang w:val="en-US" w:eastAsia="zh-CN"/>
        </w:rPr>
      </w:pPr>
      <w:r>
        <w:rPr>
          <w:rFonts w:hint="eastAsia" w:ascii="仿宋_GB2312" w:eastAsia="仿宋_GB2312"/>
          <w:color w:val="auto"/>
          <w:sz w:val="36"/>
          <w:szCs w:val="36"/>
          <w:highlight w:val="none"/>
        </w:rPr>
        <w:t>项目名称</w:t>
      </w:r>
      <w:r>
        <w:rPr>
          <w:rFonts w:hint="eastAsia" w:ascii="仿宋_GB2312" w:eastAsia="仿宋_GB2312"/>
          <w:color w:val="auto"/>
          <w:sz w:val="36"/>
          <w:szCs w:val="36"/>
          <w:highlight w:val="none"/>
          <w:lang w:eastAsia="zh-CN"/>
        </w:rPr>
        <w:t>：</w:t>
      </w:r>
      <w:r>
        <w:rPr>
          <w:rFonts w:hint="eastAsia" w:ascii="仿宋_GB2312" w:eastAsia="仿宋_GB2312" w:cs="Times New Roman"/>
          <w:color w:val="auto"/>
          <w:sz w:val="36"/>
          <w:szCs w:val="36"/>
          <w:highlight w:val="none"/>
          <w:u w:val="single"/>
          <w:lang w:val="en-US" w:eastAsia="zh-CN"/>
        </w:rPr>
        <w:t>中氧朗渤（辽宁）制氧有限公司食品级二氧化碳、食品级氮气及食品级一氧化二氮产业化建设项目</w:t>
      </w:r>
      <w:r>
        <w:rPr>
          <w:rFonts w:hint="eastAsia" w:ascii="仿宋_GB2312" w:hAnsi="Times New Roman" w:eastAsia="仿宋_GB2312" w:cs="Times New Roman"/>
          <w:color w:val="auto"/>
          <w:sz w:val="36"/>
          <w:szCs w:val="36"/>
          <w:highlight w:val="none"/>
          <w:u w:val="single"/>
          <w:lang w:val="en-US" w:eastAsia="zh-CN"/>
        </w:rPr>
        <w:t xml:space="preserve"> </w:t>
      </w:r>
      <w:r>
        <w:rPr>
          <w:rFonts w:hint="eastAsia" w:ascii="仿宋_GB2312" w:eastAsia="仿宋_GB2312"/>
          <w:color w:val="auto"/>
          <w:sz w:val="36"/>
          <w:szCs w:val="36"/>
          <w:highlight w:val="none"/>
          <w:u w:val="single"/>
          <w:lang w:val="en-US" w:eastAsia="zh-CN"/>
        </w:rPr>
        <w:t xml:space="preserve">            </w:t>
      </w:r>
    </w:p>
    <w:p w14:paraId="6FA27EA8">
      <w:pPr>
        <w:adjustRightInd w:val="0"/>
        <w:snapToGrid w:val="0"/>
        <w:spacing w:line="288" w:lineRule="auto"/>
        <w:ind w:left="1800" w:hanging="1800" w:hangingChars="500"/>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建设单位（盖章）：</w:t>
      </w:r>
      <w:r>
        <w:rPr>
          <w:rFonts w:hint="eastAsia" w:ascii="仿宋_GB2312" w:eastAsia="仿宋_GB2312" w:cs="Times New Roman"/>
          <w:color w:val="auto"/>
          <w:sz w:val="36"/>
          <w:szCs w:val="36"/>
          <w:highlight w:val="none"/>
          <w:u w:val="single"/>
          <w:lang w:val="en-US" w:eastAsia="zh-CN"/>
        </w:rPr>
        <w:t>中氧朗渤（辽宁）制氧有限公司</w:t>
      </w:r>
      <w:r>
        <w:rPr>
          <w:rFonts w:hint="eastAsia" w:ascii="仿宋_GB2312" w:eastAsia="仿宋_GB2312"/>
          <w:color w:val="auto"/>
          <w:sz w:val="36"/>
          <w:szCs w:val="36"/>
          <w:highlight w:val="none"/>
          <w:u w:val="single"/>
        </w:rPr>
        <w:t xml:space="preserve">                   </w:t>
      </w:r>
    </w:p>
    <w:p w14:paraId="6BB12791">
      <w:pPr>
        <w:adjustRightInd w:val="0"/>
        <w:snapToGrid w:val="0"/>
        <w:spacing w:line="288" w:lineRule="auto"/>
        <w:rPr>
          <w:rFonts w:hint="eastAsia" w:ascii="仿宋_GB2312" w:eastAsia="仿宋_GB2312"/>
          <w:color w:val="auto"/>
          <w:sz w:val="36"/>
          <w:szCs w:val="36"/>
          <w:highlight w:val="none"/>
          <w:u w:val="single"/>
        </w:rPr>
      </w:pPr>
      <w:r>
        <w:rPr>
          <w:rFonts w:hint="eastAsia" w:ascii="仿宋_GB2312" w:eastAsia="仿宋_GB2312"/>
          <w:color w:val="auto"/>
          <w:sz w:val="36"/>
          <w:szCs w:val="36"/>
          <w:highlight w:val="none"/>
        </w:rPr>
        <w:t>编制日期：</w:t>
      </w:r>
      <w:r>
        <w:rPr>
          <w:rFonts w:hint="eastAsia" w:ascii="仿宋_GB2312" w:eastAsia="仿宋_GB2312"/>
          <w:color w:val="auto"/>
          <w:sz w:val="36"/>
          <w:szCs w:val="36"/>
          <w:highlight w:val="none"/>
          <w:u w:val="single"/>
        </w:rPr>
        <w:t xml:space="preserve">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lang w:val="en-US" w:eastAsia="zh-CN"/>
        </w:rPr>
        <w:t xml:space="preserve">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val="en-US" w:eastAsia="zh-CN"/>
        </w:rPr>
        <w:t>202</w:t>
      </w:r>
      <w:r>
        <w:rPr>
          <w:rFonts w:hint="eastAsia" w:eastAsia="仿宋_GB2312" w:cs="Times New Roman"/>
          <w:color w:val="auto"/>
          <w:sz w:val="36"/>
          <w:szCs w:val="36"/>
          <w:highlight w:val="none"/>
          <w:u w:val="single"/>
          <w:lang w:val="en-US" w:eastAsia="zh-CN"/>
        </w:rPr>
        <w:t>6</w:t>
      </w:r>
      <w:r>
        <w:rPr>
          <w:rFonts w:hint="default" w:ascii="Times New Roman" w:hAnsi="Times New Roman" w:eastAsia="仿宋_GB2312" w:cs="Times New Roman"/>
          <w:color w:val="auto"/>
          <w:sz w:val="36"/>
          <w:szCs w:val="36"/>
          <w:highlight w:val="none"/>
          <w:u w:val="single"/>
          <w:lang w:val="en-US" w:eastAsia="zh-CN"/>
        </w:rPr>
        <w:t>年</w:t>
      </w:r>
      <w:r>
        <w:rPr>
          <w:rFonts w:hint="eastAsia" w:eastAsia="仿宋_GB2312" w:cs="Times New Roman"/>
          <w:color w:val="auto"/>
          <w:sz w:val="36"/>
          <w:szCs w:val="36"/>
          <w:highlight w:val="none"/>
          <w:u w:val="single"/>
          <w:lang w:val="en-US" w:eastAsia="zh-CN"/>
        </w:rPr>
        <w:t>5</w:t>
      </w:r>
      <w:r>
        <w:rPr>
          <w:rFonts w:hint="default" w:ascii="Times New Roman" w:hAnsi="Times New Roman" w:eastAsia="仿宋_GB2312" w:cs="Times New Roman"/>
          <w:color w:val="auto"/>
          <w:sz w:val="36"/>
          <w:szCs w:val="36"/>
          <w:highlight w:val="none"/>
          <w:u w:val="single"/>
          <w:lang w:val="en-US" w:eastAsia="zh-CN"/>
        </w:rPr>
        <w:t>月</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rPr>
        <w:t xml:space="preserve"> </w:t>
      </w:r>
    </w:p>
    <w:p w14:paraId="218D6F6F">
      <w:pPr>
        <w:adjustRightInd w:val="0"/>
        <w:snapToGrid w:val="0"/>
        <w:spacing w:line="288" w:lineRule="auto"/>
        <w:ind w:firstLine="1040"/>
        <w:rPr>
          <w:rFonts w:ascii="仿宋_GB2312" w:eastAsia="仿宋_GB2312"/>
          <w:color w:val="auto"/>
          <w:sz w:val="36"/>
          <w:szCs w:val="36"/>
          <w:highlight w:val="none"/>
          <w:u w:val="single"/>
        </w:rPr>
      </w:pPr>
      <w:bookmarkStart w:id="0" w:name="_Hlk57884087"/>
    </w:p>
    <w:p w14:paraId="7DDEA0DE">
      <w:pPr>
        <w:adjustRightInd w:val="0"/>
        <w:snapToGrid w:val="0"/>
        <w:spacing w:line="288" w:lineRule="auto"/>
        <w:ind w:firstLine="1040"/>
        <w:rPr>
          <w:rFonts w:ascii="仿宋_GB2312" w:eastAsia="仿宋_GB2312"/>
          <w:color w:val="auto"/>
          <w:sz w:val="36"/>
          <w:szCs w:val="36"/>
          <w:highlight w:val="none"/>
        </w:rPr>
      </w:pPr>
    </w:p>
    <w:p w14:paraId="61B114B3">
      <w:pPr>
        <w:adjustRightInd w:val="0"/>
        <w:snapToGrid w:val="0"/>
        <w:spacing w:line="288" w:lineRule="auto"/>
        <w:ind w:firstLine="1040"/>
        <w:rPr>
          <w:rFonts w:ascii="仿宋_GB2312" w:eastAsia="仿宋_GB2312"/>
          <w:color w:val="auto"/>
          <w:sz w:val="36"/>
          <w:szCs w:val="36"/>
          <w:highlight w:val="none"/>
        </w:rPr>
      </w:pPr>
    </w:p>
    <w:p w14:paraId="001E959A">
      <w:pPr>
        <w:adjustRightInd w:val="0"/>
        <w:snapToGrid w:val="0"/>
        <w:spacing w:line="288" w:lineRule="auto"/>
        <w:ind w:firstLine="1040"/>
        <w:rPr>
          <w:rFonts w:hint="eastAsia" w:ascii="仿宋_GB2312" w:eastAsia="仿宋_GB2312"/>
          <w:color w:val="auto"/>
          <w:sz w:val="36"/>
          <w:szCs w:val="36"/>
          <w:highlight w:val="none"/>
        </w:rPr>
      </w:pPr>
    </w:p>
    <w:p w14:paraId="117FB9AB">
      <w:pPr>
        <w:adjustRightInd w:val="0"/>
        <w:snapToGrid w:val="0"/>
        <w:spacing w:line="288" w:lineRule="auto"/>
        <w:ind w:firstLine="1040"/>
        <w:rPr>
          <w:rFonts w:hint="eastAsia" w:ascii="仿宋_GB2312" w:eastAsia="仿宋_GB2312"/>
          <w:color w:val="auto"/>
          <w:sz w:val="36"/>
          <w:szCs w:val="36"/>
          <w:highlight w:val="none"/>
        </w:rPr>
      </w:pPr>
    </w:p>
    <w:bookmarkEnd w:id="0"/>
    <w:p w14:paraId="2015FB3E">
      <w:pPr>
        <w:adjustRightInd w:val="0"/>
        <w:snapToGrid w:val="0"/>
        <w:spacing w:line="288" w:lineRule="auto"/>
        <w:jc w:val="center"/>
        <w:rPr>
          <w:rFonts w:hint="eastAsia" w:ascii="楷体_GB2312" w:eastAsia="楷体_GB2312"/>
          <w:color w:val="auto"/>
          <w:sz w:val="36"/>
          <w:szCs w:val="36"/>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楷体_GB2312" w:eastAsia="楷体_GB2312"/>
          <w:color w:val="auto"/>
          <w:sz w:val="36"/>
          <w:szCs w:val="36"/>
          <w:highlight w:val="none"/>
        </w:rPr>
        <w:t>中华人民共和国生态环境部制</w:t>
      </w:r>
    </w:p>
    <w:p w14:paraId="15A0C4A0">
      <w:pPr>
        <w:pStyle w:val="22"/>
        <w:jc w:val="center"/>
        <w:outlineLvl w:val="0"/>
        <w:rPr>
          <w:rFonts w:ascii="黑体" w:hAnsi="黑体" w:eastAsia="黑体"/>
          <w:snapToGrid w:val="0"/>
          <w:color w:val="auto"/>
          <w:sz w:val="32"/>
          <w:szCs w:val="32"/>
          <w:highlight w:val="none"/>
        </w:rPr>
      </w:pPr>
      <w:r>
        <w:rPr>
          <w:rFonts w:hint="eastAsia" w:ascii="黑体" w:hAnsi="黑体" w:eastAsia="黑体"/>
          <w:snapToGrid w:val="0"/>
          <w:color w:val="auto"/>
          <w:sz w:val="30"/>
          <w:szCs w:val="30"/>
          <w:highlight w:val="none"/>
        </w:rPr>
        <w:t>一、建设项目基本情况</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93"/>
        <w:gridCol w:w="2269"/>
        <w:gridCol w:w="1972"/>
        <w:gridCol w:w="2598"/>
      </w:tblGrid>
      <w:tr w14:paraId="616B5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6F6F83A1">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 w:val="24"/>
                <w:highlight w:val="none"/>
                <w:lang w:val="en-US" w:eastAsia="zh-CN"/>
              </w:rPr>
              <w:t>建设项目名称</w:t>
            </w:r>
          </w:p>
        </w:tc>
        <w:tc>
          <w:tcPr>
            <w:tcW w:w="6839" w:type="dxa"/>
            <w:gridSpan w:val="3"/>
            <w:noWrap/>
            <w:vAlign w:val="center"/>
          </w:tcPr>
          <w:p w14:paraId="7157D3FA">
            <w:pPr>
              <w:keepNext w:val="0"/>
              <w:keepLines w:val="0"/>
              <w:widowControl/>
              <w:suppressLineNumbers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中氧朗渤（辽宁）制氧有限公司食品级二氧化碳、食品级氮气及食品级一氧化二氮产业化建设项目</w:t>
            </w:r>
          </w:p>
        </w:tc>
      </w:tr>
      <w:tr w14:paraId="2F91B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1493" w:type="dxa"/>
            <w:noWrap/>
            <w:tcMar>
              <w:top w:w="16" w:type="dxa"/>
              <w:left w:w="16" w:type="dxa"/>
              <w:right w:w="16" w:type="dxa"/>
            </w:tcMar>
            <w:vAlign w:val="center"/>
          </w:tcPr>
          <w:p w14:paraId="02F6F6B0">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项目代码</w:t>
            </w:r>
          </w:p>
        </w:tc>
        <w:tc>
          <w:tcPr>
            <w:tcW w:w="6839" w:type="dxa"/>
            <w:gridSpan w:val="3"/>
            <w:noWrap/>
            <w:vAlign w:val="center"/>
          </w:tcPr>
          <w:p w14:paraId="0DC6C6C2">
            <w:pPr>
              <w:keepNext w:val="0"/>
              <w:keepLines w:val="0"/>
              <w:widowControl/>
              <w:suppressLineNumbers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2603-210599-04-01-480471</w:t>
            </w:r>
          </w:p>
        </w:tc>
      </w:tr>
      <w:tr w14:paraId="6391A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45F7E6B9">
            <w:pPr>
              <w:keepNext w:val="0"/>
              <w:keepLines w:val="0"/>
              <w:widowControl/>
              <w:suppressLineNumbers w:val="0"/>
              <w:jc w:val="center"/>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建设单位联系人</w:t>
            </w:r>
          </w:p>
        </w:tc>
        <w:tc>
          <w:tcPr>
            <w:tcW w:w="2269" w:type="dxa"/>
            <w:noWrap/>
            <w:vAlign w:val="center"/>
          </w:tcPr>
          <w:p w14:paraId="0C46D811">
            <w:pPr>
              <w:keepNext w:val="0"/>
              <w:keepLines w:val="0"/>
              <w:widowControl/>
              <w:suppressLineNumbers w:val="0"/>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孟子群</w:t>
            </w:r>
          </w:p>
        </w:tc>
        <w:tc>
          <w:tcPr>
            <w:tcW w:w="1972" w:type="dxa"/>
            <w:noWrap/>
            <w:vAlign w:val="center"/>
          </w:tcPr>
          <w:p w14:paraId="5D9F85A9">
            <w:pPr>
              <w:keepNext w:val="0"/>
              <w:keepLines w:val="0"/>
              <w:widowControl/>
              <w:suppressLineNumbers w:val="0"/>
              <w:jc w:val="center"/>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联系方式</w:t>
            </w:r>
          </w:p>
        </w:tc>
        <w:tc>
          <w:tcPr>
            <w:tcW w:w="2598" w:type="dxa"/>
            <w:noWrap/>
            <w:vAlign w:val="center"/>
          </w:tcPr>
          <w:p w14:paraId="6966AEC6">
            <w:pPr>
              <w:keepNext w:val="0"/>
              <w:keepLines w:val="0"/>
              <w:widowControl/>
              <w:suppressLineNumbers w:val="0"/>
              <w:jc w:val="center"/>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18604140622</w:t>
            </w:r>
          </w:p>
        </w:tc>
      </w:tr>
      <w:tr w14:paraId="0548A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5C70CC8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建设地点</w:t>
            </w:r>
          </w:p>
        </w:tc>
        <w:tc>
          <w:tcPr>
            <w:tcW w:w="6839" w:type="dxa"/>
            <w:gridSpan w:val="3"/>
            <w:noWrap/>
            <w:vAlign w:val="center"/>
          </w:tcPr>
          <w:p w14:paraId="36A11D17">
            <w:pPr>
              <w:keepNext w:val="0"/>
              <w:keepLines w:val="0"/>
              <w:widowControl/>
              <w:suppressLineNumbers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u w:val="single"/>
                <w:lang w:eastAsia="zh-CN"/>
              </w:rPr>
              <w:t>辽宁</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省</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lang w:val="en-US" w:eastAsia="zh-CN"/>
              </w:rPr>
              <w:t>本溪</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市</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高新技术产业开发</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lang w:val="en-US" w:eastAsia="zh-CN"/>
              </w:rPr>
              <w:t>区</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石桥子平台一街6号</w:t>
            </w:r>
            <w:r>
              <w:rPr>
                <w:rFonts w:hint="default" w:ascii="Times New Roman" w:hAnsi="Times New Roman" w:cs="Times New Roman"/>
                <w:color w:val="auto"/>
                <w:sz w:val="24"/>
                <w:szCs w:val="24"/>
                <w:highlight w:val="none"/>
                <w:u w:val="single"/>
              </w:rPr>
              <w:t xml:space="preserve"> </w:t>
            </w:r>
          </w:p>
        </w:tc>
      </w:tr>
      <w:tr w14:paraId="558E7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4646B61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地理坐标</w:t>
            </w:r>
          </w:p>
        </w:tc>
        <w:tc>
          <w:tcPr>
            <w:tcW w:w="6839" w:type="dxa"/>
            <w:gridSpan w:val="3"/>
            <w:noWrap/>
            <w:vAlign w:val="center"/>
          </w:tcPr>
          <w:p w14:paraId="6042D4E1">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E</w:t>
            </w:r>
            <w:r>
              <w:rPr>
                <w:rFonts w:hint="default" w:ascii="Times New Roman" w:hAnsi="Times New Roman" w:eastAsia="宋体" w:cs="Times New Roman"/>
                <w:color w:val="auto"/>
                <w:sz w:val="24"/>
                <w:highlight w:val="none"/>
                <w:u w:val="single"/>
                <w:lang w:val="en-US" w:eastAsia="zh-CN"/>
              </w:rPr>
              <w:t>123</w:t>
            </w:r>
            <w:r>
              <w:rPr>
                <w:rFonts w:hint="default" w:ascii="Times New Roman" w:hAnsi="Times New Roman" w:eastAsia="宋体" w:cs="Times New Roman"/>
                <w:color w:val="auto"/>
                <w:sz w:val="24"/>
                <w:highlight w:val="none"/>
                <w:lang w:eastAsia="zh-CN"/>
              </w:rPr>
              <w:t>度</w:t>
            </w:r>
            <w:r>
              <w:rPr>
                <w:rFonts w:hint="eastAsia" w:cs="Times New Roman"/>
                <w:color w:val="auto"/>
                <w:sz w:val="24"/>
                <w:highlight w:val="none"/>
                <w:u w:val="single"/>
                <w:lang w:val="en-US" w:eastAsia="zh-CN"/>
              </w:rPr>
              <w:t>42</w:t>
            </w:r>
            <w:r>
              <w:rPr>
                <w:rFonts w:hint="default" w:ascii="Times New Roman" w:hAnsi="Times New Roman" w:eastAsia="宋体" w:cs="Times New Roman"/>
                <w:color w:val="auto"/>
                <w:sz w:val="24"/>
                <w:highlight w:val="none"/>
                <w:lang w:eastAsia="zh-CN"/>
              </w:rPr>
              <w:t>分</w:t>
            </w:r>
            <w:r>
              <w:rPr>
                <w:rFonts w:hint="eastAsia" w:cs="Times New Roman"/>
                <w:color w:val="auto"/>
                <w:sz w:val="24"/>
                <w:highlight w:val="none"/>
                <w:u w:val="single"/>
                <w:lang w:val="en-US" w:eastAsia="zh-CN"/>
              </w:rPr>
              <w:t>13.186</w:t>
            </w:r>
            <w:r>
              <w:rPr>
                <w:rFonts w:hint="default" w:ascii="Times New Roman" w:hAnsi="Times New Roman" w:eastAsia="宋体" w:cs="Times New Roman"/>
                <w:color w:val="auto"/>
                <w:sz w:val="24"/>
                <w:highlight w:val="none"/>
                <w:lang w:eastAsia="zh-CN"/>
              </w:rPr>
              <w:t>秒</w:t>
            </w:r>
            <w:r>
              <w:rPr>
                <w:rFonts w:hint="default" w:ascii="Times New Roman" w:hAnsi="Times New Roman" w:eastAsia="宋体" w:cs="Times New Roman"/>
                <w:color w:val="auto"/>
                <w:sz w:val="24"/>
                <w:highlight w:val="none"/>
              </w:rPr>
              <w:t>，N</w:t>
            </w:r>
            <w:r>
              <w:rPr>
                <w:rFonts w:hint="default" w:ascii="Times New Roman" w:hAnsi="Times New Roman" w:eastAsia="宋体" w:cs="Times New Roman"/>
                <w:color w:val="auto"/>
                <w:sz w:val="24"/>
                <w:highlight w:val="none"/>
                <w:u w:val="single"/>
              </w:rPr>
              <w:t>41</w:t>
            </w:r>
            <w:r>
              <w:rPr>
                <w:rFonts w:hint="default" w:ascii="Times New Roman" w:hAnsi="Times New Roman" w:eastAsia="宋体" w:cs="Times New Roman"/>
                <w:color w:val="auto"/>
                <w:sz w:val="24"/>
                <w:highlight w:val="none"/>
                <w:lang w:eastAsia="zh-CN"/>
              </w:rPr>
              <w:t>度</w:t>
            </w:r>
            <w:r>
              <w:rPr>
                <w:rFonts w:hint="eastAsia" w:cs="Times New Roman"/>
                <w:color w:val="auto"/>
                <w:sz w:val="24"/>
                <w:highlight w:val="none"/>
                <w:u w:val="single"/>
                <w:lang w:val="en-US" w:eastAsia="zh-CN"/>
              </w:rPr>
              <w:t>28</w:t>
            </w:r>
            <w:r>
              <w:rPr>
                <w:rFonts w:hint="default" w:ascii="Times New Roman" w:hAnsi="Times New Roman" w:eastAsia="宋体" w:cs="Times New Roman"/>
                <w:color w:val="auto"/>
                <w:sz w:val="24"/>
                <w:highlight w:val="none"/>
                <w:lang w:eastAsia="zh-CN"/>
              </w:rPr>
              <w:t>分</w:t>
            </w:r>
            <w:r>
              <w:rPr>
                <w:rFonts w:hint="eastAsia" w:cs="Times New Roman"/>
                <w:color w:val="auto"/>
                <w:sz w:val="24"/>
                <w:highlight w:val="none"/>
                <w:u w:val="single"/>
                <w:lang w:val="en-US" w:eastAsia="zh-CN"/>
              </w:rPr>
              <w:t>26.287</w:t>
            </w:r>
            <w:r>
              <w:rPr>
                <w:rFonts w:hint="default" w:ascii="Times New Roman" w:hAnsi="Times New Roman" w:eastAsia="宋体" w:cs="Times New Roman"/>
                <w:color w:val="auto"/>
                <w:sz w:val="24"/>
                <w:highlight w:val="none"/>
                <w:lang w:eastAsia="zh-CN"/>
              </w:rPr>
              <w:t>秒）</w:t>
            </w:r>
          </w:p>
        </w:tc>
      </w:tr>
      <w:tr w14:paraId="1DA11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3" w:hRule="atLeast"/>
          <w:jc w:val="center"/>
        </w:trPr>
        <w:tc>
          <w:tcPr>
            <w:tcW w:w="1493" w:type="dxa"/>
            <w:noWrap/>
            <w:tcMar>
              <w:top w:w="16" w:type="dxa"/>
              <w:left w:w="16" w:type="dxa"/>
              <w:right w:w="16" w:type="dxa"/>
            </w:tcMar>
            <w:vAlign w:val="center"/>
          </w:tcPr>
          <w:p w14:paraId="6E0D247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国民经济</w:t>
            </w:r>
          </w:p>
          <w:p w14:paraId="392FB779">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行业类别</w:t>
            </w:r>
          </w:p>
        </w:tc>
        <w:tc>
          <w:tcPr>
            <w:tcW w:w="2269" w:type="dxa"/>
            <w:noWrap/>
            <w:vAlign w:val="center"/>
          </w:tcPr>
          <w:p w14:paraId="02D73989">
            <w:pPr>
              <w:spacing w:line="24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C5949其他危险品仓储</w:t>
            </w:r>
          </w:p>
        </w:tc>
        <w:tc>
          <w:tcPr>
            <w:tcW w:w="1972" w:type="dxa"/>
            <w:noWrap/>
            <w:vAlign w:val="center"/>
          </w:tcPr>
          <w:p w14:paraId="4F84BE3E">
            <w:pPr>
              <w:spacing w:line="24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 w:val="24"/>
                <w:highlight w:val="none"/>
                <w:lang w:eastAsia="zh-CN"/>
              </w:rPr>
              <w:t>建设项目行业类别</w:t>
            </w:r>
          </w:p>
        </w:tc>
        <w:tc>
          <w:tcPr>
            <w:tcW w:w="2598" w:type="dxa"/>
            <w:noWrap/>
            <w:vAlign w:val="center"/>
          </w:tcPr>
          <w:p w14:paraId="275BDC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五十三、装卸搬运和仓储业59</w:t>
            </w:r>
          </w:p>
          <w:p w14:paraId="338B6A7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危险品仓储594（不含加油站的油库；不含加气站的气库）</w:t>
            </w:r>
          </w:p>
          <w:p w14:paraId="38EE24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其他（含有毒、有害、危险品的仓储；含液化天然气库）</w:t>
            </w:r>
          </w:p>
        </w:tc>
      </w:tr>
      <w:tr w14:paraId="44C1F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493" w:type="dxa"/>
            <w:noWrap/>
            <w:tcMar>
              <w:top w:w="16" w:type="dxa"/>
              <w:left w:w="16" w:type="dxa"/>
              <w:right w:w="16" w:type="dxa"/>
            </w:tcMar>
            <w:vAlign w:val="center"/>
          </w:tcPr>
          <w:p w14:paraId="006FF6F6">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建设性质</w:t>
            </w:r>
          </w:p>
        </w:tc>
        <w:tc>
          <w:tcPr>
            <w:tcW w:w="2269" w:type="dxa"/>
            <w:noWrap/>
            <w:vAlign w:val="center"/>
          </w:tcPr>
          <w:p w14:paraId="413A351F">
            <w:pPr>
              <w:spacing w:line="240" w:lineRule="auto"/>
              <w:jc w:val="both"/>
              <w:rPr>
                <w:rFonts w:hint="default" w:ascii="Times New Roman" w:hAnsi="Times New Roman" w:eastAsia="宋体" w:cs="Times New Roman"/>
                <w:b w:val="0"/>
                <w:bCs/>
                <w:color w:val="auto"/>
                <w:sz w:val="24"/>
                <w:highlight w:val="none"/>
                <w:lang w:eastAsia="zh-CN"/>
              </w:rPr>
            </w:pPr>
            <w:r>
              <w:rPr>
                <w:rFonts w:hint="eastAsia" w:cs="Times New Roman"/>
                <w:color w:val="auto"/>
                <w:spacing w:val="-6"/>
                <w:sz w:val="21"/>
                <w:szCs w:val="21"/>
                <w:highlight w:val="none"/>
                <w:lang w:eastAsia="zh-CN"/>
              </w:rPr>
              <w:t>☑</w:t>
            </w:r>
            <w:r>
              <w:rPr>
                <w:rFonts w:hint="default" w:ascii="Times New Roman" w:hAnsi="Times New Roman" w:eastAsia="宋体" w:cs="Times New Roman"/>
                <w:b w:val="0"/>
                <w:bCs/>
                <w:color w:val="auto"/>
                <w:sz w:val="24"/>
                <w:highlight w:val="none"/>
                <w:lang w:eastAsia="zh-CN"/>
              </w:rPr>
              <w:t>新建</w:t>
            </w:r>
          </w:p>
          <w:p w14:paraId="57D1B73C">
            <w:pPr>
              <w:spacing w:line="240" w:lineRule="auto"/>
              <w:jc w:val="both"/>
              <w:rPr>
                <w:rFonts w:hint="default" w:ascii="Times New Roman" w:hAnsi="Times New Roman" w:eastAsia="宋体" w:cs="Times New Roman"/>
                <w:b w:val="0"/>
                <w:bCs/>
                <w:color w:val="auto"/>
                <w:sz w:val="24"/>
                <w:highlight w:val="none"/>
                <w:lang w:eastAsia="zh-CN"/>
              </w:rPr>
            </w:pP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b w:val="0"/>
                <w:bCs/>
                <w:color w:val="auto"/>
                <w:sz w:val="24"/>
                <w:highlight w:val="none"/>
                <w:lang w:eastAsia="zh-CN"/>
              </w:rPr>
              <w:t>改建</w:t>
            </w:r>
          </w:p>
          <w:p w14:paraId="64512A79">
            <w:pPr>
              <w:spacing w:line="240" w:lineRule="auto"/>
              <w:jc w:val="both"/>
              <w:rPr>
                <w:rFonts w:hint="default" w:ascii="Times New Roman" w:hAnsi="Times New Roman" w:eastAsia="宋体" w:cs="Times New Roman"/>
                <w:b w:val="0"/>
                <w:bCs/>
                <w:color w:val="auto"/>
                <w:sz w:val="24"/>
                <w:highlight w:val="none"/>
                <w:lang w:eastAsia="zh-CN"/>
              </w:rPr>
            </w:pP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b w:val="0"/>
                <w:bCs/>
                <w:color w:val="auto"/>
                <w:sz w:val="24"/>
                <w:highlight w:val="none"/>
                <w:lang w:eastAsia="zh-CN"/>
              </w:rPr>
              <w:t>扩建</w:t>
            </w:r>
          </w:p>
          <w:p w14:paraId="5F6F70C4">
            <w:pPr>
              <w:spacing w:line="240" w:lineRule="auto"/>
              <w:jc w:val="both"/>
              <w:rPr>
                <w:rFonts w:hint="default" w:ascii="Times New Roman" w:hAnsi="Times New Roman" w:eastAsia="宋体" w:cs="Times New Roman"/>
                <w:color w:val="auto"/>
                <w:sz w:val="24"/>
                <w:szCs w:val="24"/>
                <w:highlight w:val="none"/>
              </w:rPr>
            </w:pPr>
            <w:r>
              <w:rPr>
                <w:rFonts w:hint="eastAsia" w:cs="Times New Roman"/>
                <w:color w:val="auto"/>
                <w:spacing w:val="-6"/>
                <w:sz w:val="21"/>
                <w:szCs w:val="21"/>
                <w:highlight w:val="none"/>
                <w:lang w:eastAsia="zh-CN"/>
              </w:rPr>
              <w:t>□</w:t>
            </w:r>
            <w:r>
              <w:rPr>
                <w:rFonts w:hint="default" w:ascii="Times New Roman" w:hAnsi="Times New Roman" w:eastAsia="宋体" w:cs="Times New Roman"/>
                <w:b w:val="0"/>
                <w:bCs/>
                <w:color w:val="auto"/>
                <w:sz w:val="24"/>
                <w:highlight w:val="none"/>
                <w:lang w:eastAsia="zh-CN"/>
              </w:rPr>
              <w:t>技术改造</w:t>
            </w:r>
          </w:p>
        </w:tc>
        <w:tc>
          <w:tcPr>
            <w:tcW w:w="1972" w:type="dxa"/>
            <w:noWrap/>
            <w:vAlign w:val="center"/>
          </w:tcPr>
          <w:p w14:paraId="01457886">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lang w:eastAsia="zh-CN"/>
              </w:rPr>
              <w:t>建设项目申报情况</w:t>
            </w:r>
          </w:p>
        </w:tc>
        <w:tc>
          <w:tcPr>
            <w:tcW w:w="2598" w:type="dxa"/>
            <w:noWrap/>
            <w:vAlign w:val="center"/>
          </w:tcPr>
          <w:p w14:paraId="38B6E6C9">
            <w:pPr>
              <w:spacing w:line="240" w:lineRule="auto"/>
              <w:jc w:val="both"/>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z w:val="24"/>
                <w:highlight w:val="none"/>
                <w:lang w:eastAsia="zh-CN"/>
              </w:rPr>
              <w:t>首次申报项目</w:t>
            </w:r>
          </w:p>
          <w:p w14:paraId="5B8E432D">
            <w:pPr>
              <w:spacing w:line="240" w:lineRule="auto"/>
              <w:jc w:val="both"/>
              <w:rPr>
                <w:rFonts w:hint="default"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z w:val="24"/>
                <w:highlight w:val="none"/>
                <w:lang w:eastAsia="zh-CN"/>
              </w:rPr>
              <w:t>不予批准后再次申报项目</w:t>
            </w:r>
          </w:p>
          <w:p w14:paraId="17081315">
            <w:pPr>
              <w:spacing w:line="240" w:lineRule="auto"/>
              <w:jc w:val="both"/>
              <w:rPr>
                <w:rFonts w:hint="default"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z w:val="24"/>
                <w:highlight w:val="none"/>
                <w:lang w:eastAsia="zh-CN"/>
              </w:rPr>
              <w:t>超五年重新审核项目</w:t>
            </w:r>
          </w:p>
          <w:p w14:paraId="3D1F9AB2">
            <w:pPr>
              <w:spacing w:line="240" w:lineRule="auto"/>
              <w:jc w:val="both"/>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z w:val="24"/>
                <w:highlight w:val="none"/>
                <w:lang w:eastAsia="zh-CN"/>
              </w:rPr>
              <w:t>重大变动重新报批项目</w:t>
            </w:r>
          </w:p>
        </w:tc>
      </w:tr>
      <w:tr w14:paraId="37F34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493" w:type="dxa"/>
            <w:noWrap/>
            <w:tcMar>
              <w:top w:w="16" w:type="dxa"/>
              <w:left w:w="16" w:type="dxa"/>
              <w:right w:w="16" w:type="dxa"/>
            </w:tcMar>
            <w:vAlign w:val="center"/>
          </w:tcPr>
          <w:p w14:paraId="6A2C633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项目审批（核准/备案）部门（选填）</w:t>
            </w:r>
          </w:p>
        </w:tc>
        <w:tc>
          <w:tcPr>
            <w:tcW w:w="2269" w:type="dxa"/>
            <w:noWrap/>
            <w:vAlign w:val="center"/>
          </w:tcPr>
          <w:p w14:paraId="3E8F7C1A">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本溪高新区经济运行局</w:t>
            </w:r>
          </w:p>
        </w:tc>
        <w:tc>
          <w:tcPr>
            <w:tcW w:w="1972" w:type="dxa"/>
            <w:noWrap/>
            <w:vAlign w:val="center"/>
          </w:tcPr>
          <w:p w14:paraId="21418AD0">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项目审批（核准/</w:t>
            </w:r>
          </w:p>
          <w:p w14:paraId="4D87F032">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备案）文号（选填）</w:t>
            </w:r>
          </w:p>
        </w:tc>
        <w:tc>
          <w:tcPr>
            <w:tcW w:w="2598" w:type="dxa"/>
            <w:noWrap/>
            <w:vAlign w:val="center"/>
          </w:tcPr>
          <w:p w14:paraId="0DE60E90">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本高经立备[2026]10号</w:t>
            </w:r>
          </w:p>
        </w:tc>
      </w:tr>
      <w:tr w14:paraId="2B08F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576B556B">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总投资（万元）</w:t>
            </w:r>
          </w:p>
        </w:tc>
        <w:tc>
          <w:tcPr>
            <w:tcW w:w="2269" w:type="dxa"/>
            <w:noWrap/>
            <w:vAlign w:val="center"/>
          </w:tcPr>
          <w:p w14:paraId="2F004905">
            <w:pPr>
              <w:spacing w:line="240" w:lineRule="auto"/>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2000</w:t>
            </w:r>
          </w:p>
        </w:tc>
        <w:tc>
          <w:tcPr>
            <w:tcW w:w="1972" w:type="dxa"/>
            <w:noWrap/>
            <w:tcMar>
              <w:top w:w="16" w:type="dxa"/>
              <w:left w:w="16" w:type="dxa"/>
              <w:right w:w="16" w:type="dxa"/>
            </w:tcMar>
            <w:vAlign w:val="center"/>
          </w:tcPr>
          <w:p w14:paraId="19FD8379">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环保投资（万元）</w:t>
            </w:r>
          </w:p>
        </w:tc>
        <w:tc>
          <w:tcPr>
            <w:tcW w:w="2598" w:type="dxa"/>
            <w:noWrap/>
            <w:vAlign w:val="center"/>
          </w:tcPr>
          <w:p w14:paraId="65A54C8C">
            <w:pPr>
              <w:spacing w:line="240" w:lineRule="auto"/>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24.0</w:t>
            </w:r>
          </w:p>
        </w:tc>
      </w:tr>
      <w:tr w14:paraId="79FDB5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01273083">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环保投资占比（%）</w:t>
            </w:r>
          </w:p>
        </w:tc>
        <w:tc>
          <w:tcPr>
            <w:tcW w:w="2269" w:type="dxa"/>
            <w:noWrap/>
            <w:vAlign w:val="center"/>
          </w:tcPr>
          <w:p w14:paraId="5B695E74">
            <w:pPr>
              <w:spacing w:line="240" w:lineRule="auto"/>
              <w:jc w:val="center"/>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1.2</w:t>
            </w:r>
          </w:p>
        </w:tc>
        <w:tc>
          <w:tcPr>
            <w:tcW w:w="1972" w:type="dxa"/>
            <w:noWrap/>
            <w:tcMar>
              <w:top w:w="16" w:type="dxa"/>
              <w:left w:w="16" w:type="dxa"/>
              <w:right w:w="16" w:type="dxa"/>
            </w:tcMar>
            <w:vAlign w:val="center"/>
          </w:tcPr>
          <w:p w14:paraId="3B599EBC">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施工工期</w:t>
            </w:r>
          </w:p>
        </w:tc>
        <w:tc>
          <w:tcPr>
            <w:tcW w:w="2598" w:type="dxa"/>
            <w:noWrap/>
            <w:vAlign w:val="center"/>
          </w:tcPr>
          <w:p w14:paraId="26E43C91">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3个月</w:t>
            </w:r>
          </w:p>
        </w:tc>
      </w:tr>
      <w:tr w14:paraId="57582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93" w:type="dxa"/>
            <w:noWrap/>
            <w:tcMar>
              <w:top w:w="16" w:type="dxa"/>
              <w:left w:w="16" w:type="dxa"/>
              <w:right w:w="16" w:type="dxa"/>
            </w:tcMar>
            <w:vAlign w:val="center"/>
          </w:tcPr>
          <w:p w14:paraId="0568416B">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是否开工建设</w:t>
            </w:r>
          </w:p>
        </w:tc>
        <w:tc>
          <w:tcPr>
            <w:tcW w:w="2269" w:type="dxa"/>
            <w:noWrap/>
            <w:vAlign w:val="center"/>
          </w:tcPr>
          <w:p w14:paraId="0820DCA5">
            <w:pPr>
              <w:spacing w:line="240" w:lineRule="auto"/>
              <w:jc w:val="both"/>
              <w:rPr>
                <w:rFonts w:hint="default" w:ascii="Times New Roman" w:hAnsi="Times New Roman" w:cs="Times New Roman"/>
                <w:color w:val="auto"/>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否</w:t>
            </w:r>
            <w:r>
              <w:rPr>
                <w:rFonts w:hint="eastAsia" w:cs="Times New Roman"/>
                <w:color w:val="auto"/>
                <w:sz w:val="24"/>
                <w:highlight w:val="none"/>
                <w:lang w:val="en-US" w:eastAsia="zh-CN"/>
              </w:rPr>
              <w:t xml:space="preserve">  </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是：</w:t>
            </w:r>
          </w:p>
        </w:tc>
        <w:tc>
          <w:tcPr>
            <w:tcW w:w="1972" w:type="dxa"/>
            <w:noWrap/>
            <w:tcMar>
              <w:top w:w="16" w:type="dxa"/>
              <w:left w:w="16" w:type="dxa"/>
              <w:right w:w="16" w:type="dxa"/>
            </w:tcMar>
            <w:vAlign w:val="center"/>
          </w:tcPr>
          <w:p w14:paraId="0E24476C">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用地（用海）</w:t>
            </w:r>
          </w:p>
          <w:p w14:paraId="515F6C59">
            <w:pPr>
              <w:spacing w:line="240" w:lineRule="auto"/>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面积（m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w:t>
            </w:r>
          </w:p>
        </w:tc>
        <w:tc>
          <w:tcPr>
            <w:tcW w:w="2598" w:type="dxa"/>
            <w:noWrap/>
            <w:vAlign w:val="center"/>
          </w:tcPr>
          <w:p w14:paraId="5B766823">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1000</w:t>
            </w:r>
          </w:p>
        </w:tc>
      </w:tr>
      <w:tr w14:paraId="5F864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493" w:type="dxa"/>
            <w:noWrap/>
            <w:vAlign w:val="center"/>
          </w:tcPr>
          <w:p w14:paraId="0DF6DD59">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专项评价设置情况</w:t>
            </w:r>
          </w:p>
        </w:tc>
        <w:tc>
          <w:tcPr>
            <w:tcW w:w="6839" w:type="dxa"/>
            <w:gridSpan w:val="3"/>
            <w:noWrap/>
            <w:vAlign w:val="center"/>
          </w:tcPr>
          <w:p w14:paraId="3B79AB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1.大气：本项目无《有毒有害大气污染物名录（2018年）》中所列污染物及二噁英、苯并</w:t>
            </w:r>
            <w:r>
              <w:rPr>
                <w:rFonts w:hint="default" w:ascii="Times New Roman" w:hAnsi="Times New Roman" w:cs="Times New Roman"/>
                <w:color w:val="auto"/>
                <w:szCs w:val="21"/>
                <w:highlight w:val="none"/>
                <w:lang w:val="en-US" w:eastAsia="zh-CN"/>
              </w:rPr>
              <w:t>[ɑ]</w:t>
            </w:r>
            <w:r>
              <w:rPr>
                <w:rFonts w:hint="eastAsia" w:cs="Times New Roman"/>
                <w:color w:val="auto"/>
                <w:szCs w:val="21"/>
                <w:highlight w:val="none"/>
                <w:lang w:val="en-US" w:eastAsia="zh-CN"/>
              </w:rPr>
              <w:t>芘、氰化物、氯气排放；</w:t>
            </w:r>
          </w:p>
          <w:p w14:paraId="78F302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2.地表水：本项目无生产废水排放；生活污水排放市政污水管网后经市政污水处理厂处理，无废水直排；</w:t>
            </w:r>
          </w:p>
          <w:p w14:paraId="58A05D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3.环境风险：本项目液态二氧化碳、液态氮气、液态一氧化二氮均不属于有毒有害和易燃易爆危险物质；</w:t>
            </w:r>
          </w:p>
          <w:p w14:paraId="43741E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4.生态、海洋：本项目不涉及。</w:t>
            </w:r>
          </w:p>
          <w:p w14:paraId="5BE216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综上本项目无需设置专项评价。</w:t>
            </w:r>
          </w:p>
        </w:tc>
      </w:tr>
      <w:tr w14:paraId="1C6F74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493" w:type="dxa"/>
            <w:noWrap/>
            <w:vAlign w:val="center"/>
          </w:tcPr>
          <w:p w14:paraId="6603DF0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规划情况</w:t>
            </w:r>
          </w:p>
        </w:tc>
        <w:tc>
          <w:tcPr>
            <w:tcW w:w="6839" w:type="dxa"/>
            <w:gridSpan w:val="3"/>
            <w:noWrap/>
            <w:vAlign w:val="center"/>
          </w:tcPr>
          <w:p w14:paraId="51537A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规划名称：《沈本新城总体规划（2013-2030）》；</w:t>
            </w:r>
          </w:p>
          <w:p w14:paraId="407136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审批机关：本溪市人民政府；</w:t>
            </w:r>
          </w:p>
          <w:p w14:paraId="233801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审批文件名称及文号：关于同意《沈溪新城总体规划（2011-2030年）》的批复，（本政[2011]279号）。</w:t>
            </w:r>
          </w:p>
        </w:tc>
      </w:tr>
      <w:tr w14:paraId="6901B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493" w:type="dxa"/>
            <w:noWrap/>
            <w:vAlign w:val="center"/>
          </w:tcPr>
          <w:p w14:paraId="6FE8694E">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规划环境影响评价情况</w:t>
            </w:r>
          </w:p>
        </w:tc>
        <w:tc>
          <w:tcPr>
            <w:tcW w:w="6839" w:type="dxa"/>
            <w:gridSpan w:val="3"/>
            <w:noWrap/>
            <w:vAlign w:val="center"/>
          </w:tcPr>
          <w:p w14:paraId="4BE441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规划环评：《沈本新城总体规划（2013～2030）环境影响报告书》；</w:t>
            </w:r>
          </w:p>
          <w:p w14:paraId="316C8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审查机关：本溪市环境保护局；</w:t>
            </w:r>
          </w:p>
          <w:p w14:paraId="0C1B62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审查文件名称及文号：《沈本新城总体规划（2013～2030）环境影响报告书》审查组审查意见，2014年8月10日，本环规审字</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2020</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2号。</w:t>
            </w:r>
          </w:p>
        </w:tc>
      </w:tr>
      <w:tr w14:paraId="32F48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24" w:hRule="atLeast"/>
          <w:jc w:val="center"/>
        </w:trPr>
        <w:tc>
          <w:tcPr>
            <w:tcW w:w="1493" w:type="dxa"/>
            <w:noWrap/>
            <w:vAlign w:val="center"/>
          </w:tcPr>
          <w:p w14:paraId="54CE2B62">
            <w:pPr>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Cs w:val="21"/>
                <w:highlight w:val="none"/>
                <w:lang w:val="en-US" w:eastAsia="zh-CN"/>
              </w:rPr>
              <w:t>规划及规划环境影响评价符合性分析</w:t>
            </w:r>
          </w:p>
        </w:tc>
        <w:tc>
          <w:tcPr>
            <w:tcW w:w="6839" w:type="dxa"/>
            <w:gridSpan w:val="3"/>
            <w:noWrap/>
            <w:vAlign w:val="center"/>
          </w:tcPr>
          <w:p w14:paraId="077A7D5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eastAsia" w:cs="Times New Roman"/>
                <w:color w:val="auto"/>
                <w:kern w:val="0"/>
                <w:sz w:val="24"/>
                <w:szCs w:val="24"/>
                <w:highlight w:val="none"/>
                <w:lang w:val="en-US" w:eastAsia="zh-CN" w:bidi="en-US"/>
              </w:rPr>
            </w:pPr>
            <w:r>
              <w:rPr>
                <w:rFonts w:hint="default" w:ascii="Times New Roman" w:hAnsi="Times New Roman" w:eastAsia="宋体" w:cs="Times New Roman"/>
                <w:color w:val="auto"/>
                <w:kern w:val="0"/>
                <w:sz w:val="24"/>
                <w:szCs w:val="24"/>
                <w:lang w:val="en-US" w:eastAsia="zh-CN" w:bidi="en-US"/>
              </w:rPr>
              <w:t>1.</w:t>
            </w:r>
            <w:r>
              <w:rPr>
                <w:rFonts w:hint="default" w:ascii="Times New Roman" w:hAnsi="Times New Roman" w:cs="Times New Roman"/>
                <w:color w:val="auto"/>
                <w:sz w:val="24"/>
                <w:highlight w:val="none"/>
                <w:lang w:val="en-US" w:eastAsia="zh-CN"/>
              </w:rPr>
              <w:t>与</w:t>
            </w:r>
            <w:r>
              <w:rPr>
                <w:rFonts w:hint="default" w:ascii="Times New Roman" w:hAnsi="Times New Roman" w:cs="Times New Roman"/>
                <w:color w:val="auto"/>
                <w:kern w:val="0"/>
                <w:sz w:val="24"/>
                <w:szCs w:val="24"/>
                <w:highlight w:val="none"/>
                <w:lang w:val="en-US" w:eastAsia="zh-CN" w:bidi="en-US"/>
              </w:rPr>
              <w:t>《沈本新城总体规划（2013</w:t>
            </w:r>
            <w:r>
              <w:rPr>
                <w:rFonts w:hint="eastAsia" w:ascii="Times New Roman" w:hAnsi="Times New Roman" w:cs="Times New Roman"/>
                <w:color w:val="auto"/>
                <w:kern w:val="0"/>
                <w:sz w:val="24"/>
                <w:szCs w:val="24"/>
                <w:highlight w:val="none"/>
                <w:lang w:val="en-US" w:eastAsia="zh-CN" w:bidi="en-US"/>
              </w:rPr>
              <w:t>-</w:t>
            </w:r>
            <w:r>
              <w:rPr>
                <w:rFonts w:hint="default" w:ascii="Times New Roman" w:hAnsi="Times New Roman" w:cs="Times New Roman"/>
                <w:color w:val="auto"/>
                <w:kern w:val="0"/>
                <w:sz w:val="24"/>
                <w:szCs w:val="24"/>
                <w:highlight w:val="none"/>
                <w:lang w:val="en-US" w:eastAsia="zh-CN" w:bidi="en-US"/>
              </w:rPr>
              <w:t>2030）》相符性分析</w:t>
            </w:r>
          </w:p>
          <w:p w14:paraId="20D39AA9">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eastAsia" w:cs="Times New Roman"/>
                <w:color w:val="auto"/>
                <w:kern w:val="0"/>
                <w:sz w:val="24"/>
                <w:szCs w:val="24"/>
                <w:highlight w:val="none"/>
                <w:lang w:val="en-US" w:eastAsia="zh-CN" w:bidi="en-US"/>
              </w:rPr>
            </w:pPr>
            <w:r>
              <w:rPr>
                <w:rFonts w:hint="eastAsia" w:ascii="黑体" w:hAnsi="黑体" w:eastAsia="黑体" w:cs="黑体"/>
                <w:color w:val="auto"/>
                <w:sz w:val="21"/>
                <w:szCs w:val="21"/>
                <w:highlight w:val="none"/>
                <w:lang w:val="en-US" w:eastAsia="zh-CN"/>
              </w:rPr>
              <w:t>表1-1本项目与</w:t>
            </w:r>
            <w:r>
              <w:rPr>
                <w:rFonts w:hint="eastAsia" w:ascii="黑体" w:hAnsi="黑体" w:eastAsia="黑体" w:cs="黑体"/>
                <w:color w:val="auto"/>
                <w:kern w:val="0"/>
                <w:sz w:val="21"/>
                <w:szCs w:val="21"/>
                <w:highlight w:val="none"/>
                <w:lang w:val="en-US" w:eastAsia="zh-CN" w:bidi="en-US"/>
              </w:rPr>
              <w:t>《沈本新城总体规划（2013-2030）》相符性分析</w:t>
            </w:r>
          </w:p>
          <w:tbl>
            <w:tblPr>
              <w:tblStyle w:val="25"/>
              <w:tblW w:w="499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0"/>
              <w:gridCol w:w="3109"/>
              <w:gridCol w:w="2286"/>
              <w:gridCol w:w="767"/>
            </w:tblGrid>
            <w:tr w14:paraId="228B0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pct"/>
                  <w:gridSpan w:val="2"/>
                  <w:tcBorders>
                    <w:tl2br w:val="nil"/>
                    <w:tr2bl w:val="nil"/>
                  </w:tcBorders>
                  <w:noWrap w:val="0"/>
                  <w:vAlign w:val="center"/>
                </w:tcPr>
                <w:p w14:paraId="50FBA22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规划要求</w:t>
                  </w:r>
                </w:p>
              </w:tc>
              <w:tc>
                <w:tcPr>
                  <w:tcW w:w="1725" w:type="pct"/>
                  <w:tcBorders>
                    <w:tl2br w:val="nil"/>
                    <w:tr2bl w:val="nil"/>
                  </w:tcBorders>
                  <w:noWrap w:val="0"/>
                  <w:vAlign w:val="center"/>
                </w:tcPr>
                <w:p w14:paraId="5C3FA2D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本项目落实情况</w:t>
                  </w:r>
                </w:p>
              </w:tc>
              <w:tc>
                <w:tcPr>
                  <w:tcW w:w="579" w:type="pct"/>
                  <w:tcBorders>
                    <w:tl2br w:val="nil"/>
                    <w:tr2bl w:val="nil"/>
                  </w:tcBorders>
                  <w:noWrap w:val="0"/>
                  <w:vAlign w:val="center"/>
                </w:tcPr>
                <w:p w14:paraId="740D5929">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符合性</w:t>
                  </w:r>
                </w:p>
              </w:tc>
            </w:tr>
            <w:tr w14:paraId="60AA75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7" w:type="pct"/>
                  <w:tcBorders>
                    <w:tl2br w:val="nil"/>
                    <w:tr2bl w:val="nil"/>
                  </w:tcBorders>
                  <w:noWrap w:val="0"/>
                  <w:vAlign w:val="center"/>
                </w:tcPr>
                <w:p w14:paraId="275110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总体定位</w:t>
                  </w:r>
                </w:p>
              </w:tc>
              <w:tc>
                <w:tcPr>
                  <w:tcW w:w="2347" w:type="pct"/>
                  <w:tcBorders>
                    <w:tl2br w:val="nil"/>
                    <w:tr2bl w:val="nil"/>
                  </w:tcBorders>
                  <w:noWrap w:val="0"/>
                  <w:vAlign w:val="center"/>
                </w:tcPr>
                <w:p w14:paraId="62F95C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alibri" w:hAnsi="Calibri" w:eastAsia="宋体"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lang w:val="en-US" w:eastAsia="zh-CN" w:bidi="en-US"/>
                    </w:rPr>
                    <w:t>以现代中药、功能食品保健品、医疗器械、高端仿制药及化药、生物制药及疫苗、医药相关配套产业</w:t>
                  </w:r>
                  <w:r>
                    <w:rPr>
                      <w:rFonts w:hint="eastAsia" w:ascii="Times New Roman" w:hAnsi="Times New Roman" w:eastAsia="宋体" w:cs="Times New Roman"/>
                      <w:color w:val="auto"/>
                      <w:kern w:val="0"/>
                      <w:sz w:val="21"/>
                      <w:szCs w:val="21"/>
                      <w:highlight w:val="none"/>
                      <w:lang w:val="en-US" w:eastAsia="zh-CN" w:bidi="en-US"/>
                    </w:rPr>
                    <w:t>、现代物流、新兴产业为主导，打造成引领区域转型发展的国家级医药产业园区、东北地区知名的健康、休闲旅游先导示范区。医药相关配套产业园：重点发展药用包装、卫生材料等医药相关配套产业。</w:t>
                  </w:r>
                </w:p>
              </w:tc>
              <w:tc>
                <w:tcPr>
                  <w:tcW w:w="1725" w:type="pct"/>
                  <w:tcBorders>
                    <w:tl2br w:val="nil"/>
                    <w:tr2bl w:val="nil"/>
                  </w:tcBorders>
                  <w:noWrap w:val="0"/>
                  <w:vAlign w:val="center"/>
                </w:tcPr>
                <w:p w14:paraId="2EBFEA95">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cs="Times New Roman"/>
                      <w:color w:val="auto"/>
                      <w:kern w:val="0"/>
                      <w:sz w:val="21"/>
                      <w:szCs w:val="21"/>
                      <w:highlight w:val="none"/>
                      <w:vertAlign w:val="baseline"/>
                      <w:lang w:val="en-US" w:eastAsia="zh-CN" w:bidi="en-US"/>
                    </w:rPr>
                  </w:pPr>
                  <w:r>
                    <w:rPr>
                      <w:rFonts w:hint="eastAsia" w:ascii="Times New Roman" w:hAnsi="Times New Roman" w:eastAsia="宋体" w:cs="Times New Roman"/>
                      <w:color w:val="auto"/>
                      <w:kern w:val="0"/>
                      <w:sz w:val="21"/>
                      <w:szCs w:val="21"/>
                      <w:highlight w:val="none"/>
                      <w:lang w:val="en-US" w:eastAsia="zh-CN" w:bidi="en-US"/>
                    </w:rPr>
                    <w:t>本项目位于医药相关配套产业园，本项目为食品级二氧化碳、食品级氮气及食品级一氧化二氮充装项目，其中食品级一氧化二氮为</w:t>
                  </w:r>
                  <w:r>
                    <w:rPr>
                      <w:rFonts w:hint="default" w:ascii="Times New Roman" w:hAnsi="Times New Roman" w:eastAsia="宋体" w:cs="Times New Roman"/>
                      <w:color w:val="auto"/>
                      <w:kern w:val="0"/>
                      <w:sz w:val="21"/>
                      <w:szCs w:val="21"/>
                      <w:highlight w:val="none"/>
                      <w:lang w:val="en-US" w:eastAsia="zh-CN" w:bidi="en-US"/>
                    </w:rPr>
                    <w:t>医药行业的重要医用气体，</w:t>
                  </w:r>
                  <w:r>
                    <w:rPr>
                      <w:rFonts w:hint="eastAsia" w:ascii="Times New Roman" w:hAnsi="Times New Roman" w:eastAsia="宋体" w:cs="Times New Roman"/>
                      <w:color w:val="auto"/>
                      <w:kern w:val="0"/>
                      <w:sz w:val="21"/>
                      <w:szCs w:val="21"/>
                      <w:highlight w:val="none"/>
                      <w:lang w:val="en-US" w:eastAsia="zh-CN" w:bidi="en-US"/>
                    </w:rPr>
                    <w:t>可</w:t>
                  </w:r>
                  <w:r>
                    <w:rPr>
                      <w:rFonts w:hint="default" w:ascii="Times New Roman" w:hAnsi="Times New Roman" w:eastAsia="宋体" w:cs="Times New Roman"/>
                      <w:color w:val="auto"/>
                      <w:kern w:val="0"/>
                      <w:sz w:val="21"/>
                      <w:szCs w:val="21"/>
                      <w:highlight w:val="none"/>
                      <w:lang w:val="en-US" w:eastAsia="zh-CN" w:bidi="en-US"/>
                    </w:rPr>
                    <w:t>用于医疗镇痛</w:t>
                  </w:r>
                  <w:r>
                    <w:rPr>
                      <w:rFonts w:hint="eastAsia" w:ascii="Times New Roman" w:hAnsi="Times New Roman" w:eastAsia="宋体" w:cs="Times New Roman"/>
                      <w:color w:val="auto"/>
                      <w:kern w:val="0"/>
                      <w:sz w:val="21"/>
                      <w:szCs w:val="21"/>
                      <w:highlight w:val="none"/>
                      <w:lang w:val="en-US" w:eastAsia="zh-CN" w:bidi="en-US"/>
                    </w:rPr>
                    <w:t>；食品级二氧化碳可用于特殊药品的包装、储存，属于医药相关配套行业。</w:t>
                  </w:r>
                </w:p>
              </w:tc>
              <w:tc>
                <w:tcPr>
                  <w:tcW w:w="579" w:type="pct"/>
                  <w:tcBorders>
                    <w:tl2br w:val="nil"/>
                    <w:tr2bl w:val="nil"/>
                  </w:tcBorders>
                  <w:noWrap w:val="0"/>
                  <w:vAlign w:val="center"/>
                </w:tcPr>
                <w:p w14:paraId="4C00D737">
                  <w:pPr>
                    <w:pStyle w:val="29"/>
                    <w:widowControl w:val="0"/>
                    <w:numPr>
                      <w:ilvl w:val="0"/>
                      <w:numId w:val="0"/>
                    </w:numPr>
                    <w:adjustRightInd w:val="0"/>
                    <w:snapToGrid w:val="0"/>
                    <w:spacing w:line="240" w:lineRule="auto"/>
                    <w:jc w:val="center"/>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符合</w:t>
                  </w:r>
                </w:p>
              </w:tc>
            </w:tr>
            <w:tr w14:paraId="25FF85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47" w:type="pct"/>
                  <w:tcBorders>
                    <w:tl2br w:val="nil"/>
                    <w:tr2bl w:val="nil"/>
                  </w:tcBorders>
                  <w:noWrap w:val="0"/>
                  <w:vAlign w:val="center"/>
                </w:tcPr>
                <w:p w14:paraId="18D95543">
                  <w:pPr>
                    <w:keepNext w:val="0"/>
                    <w:keepLines w:val="0"/>
                    <w:pageBreakBefore w:val="0"/>
                    <w:widowControl/>
                    <w:suppressLineNumbers w:val="0"/>
                    <w:kinsoku/>
                    <w:wordWrap/>
                    <w:overflowPunct/>
                    <w:topLinePunct w:val="0"/>
                    <w:autoSpaceDE/>
                    <w:autoSpaceDN/>
                    <w:bidi w:val="0"/>
                    <w:adjustRightInd w:val="0"/>
                    <w:snapToGrid w:val="0"/>
                    <w:ind w:firstLine="0" w:firstLineChars="0"/>
                    <w:jc w:val="center"/>
                    <w:textAlignment w:val="auto"/>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lang w:val="en-US" w:eastAsia="zh-CN" w:bidi="en-US"/>
                    </w:rPr>
                    <w:t>环保准入条件</w:t>
                  </w:r>
                </w:p>
              </w:tc>
              <w:tc>
                <w:tcPr>
                  <w:tcW w:w="2347" w:type="pct"/>
                  <w:tcBorders>
                    <w:tl2br w:val="nil"/>
                    <w:tr2bl w:val="nil"/>
                  </w:tcBorders>
                  <w:noWrap w:val="0"/>
                  <w:vAlign w:val="center"/>
                </w:tcPr>
                <w:p w14:paraId="76784DB3">
                  <w:pPr>
                    <w:pStyle w:val="22"/>
                    <w:keepNext w:val="0"/>
                    <w:keepLines w:val="0"/>
                    <w:widowControl/>
                    <w:suppressLineNumbers w:val="0"/>
                    <w:spacing w:line="241" w:lineRule="auto"/>
                    <w:jc w:val="left"/>
                    <w:textAlignment w:val="center"/>
                    <w:rPr>
                      <w:rFonts w:hint="eastAsia" w:ascii="宋体" w:hAnsi="宋体" w:eastAsia="宋体" w:cs="宋体"/>
                      <w:color w:val="auto"/>
                      <w:kern w:val="0"/>
                      <w:sz w:val="21"/>
                      <w:szCs w:val="21"/>
                      <w:lang w:val="en-US" w:eastAsia="zh-CN" w:bidi="ar"/>
                    </w:rPr>
                  </w:pPr>
                  <w:r>
                    <w:rPr>
                      <w:rFonts w:hint="eastAsia" w:ascii="Times New Roman" w:hAnsi="Times New Roman" w:eastAsia="宋体" w:cs="Times New Roman"/>
                      <w:color w:val="auto"/>
                      <w:kern w:val="0"/>
                      <w:sz w:val="21"/>
                      <w:szCs w:val="21"/>
                      <w:highlight w:val="none"/>
                      <w:lang w:val="en-US" w:eastAsia="zh-CN" w:bidi="en-US"/>
                    </w:rPr>
                    <w:t>根据规划，石桥子片区允许发展居住、公用设施、教育科研、医疗卫生、商业服务等项目，同时可发展对居住和公共环境基本无干扰或有一定干扰、污染和安全隐患的工业项目；禁止引进对居住和公共环境有严重干扰、污染和安全隐患的工业项目。</w:t>
                  </w:r>
                </w:p>
              </w:tc>
              <w:tc>
                <w:tcPr>
                  <w:tcW w:w="1725" w:type="pct"/>
                  <w:tcBorders>
                    <w:tl2br w:val="nil"/>
                    <w:tr2bl w:val="nil"/>
                  </w:tcBorders>
                  <w:noWrap w:val="0"/>
                  <w:vAlign w:val="center"/>
                </w:tcPr>
                <w:p w14:paraId="76E9D605">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lang w:val="en-US" w:eastAsia="zh-CN" w:bidi="en-US"/>
                    </w:rPr>
                    <w:t>项目</w:t>
                  </w:r>
                  <w:r>
                    <w:rPr>
                      <w:rFonts w:hint="eastAsia" w:ascii="Times New Roman" w:hAnsi="Times New Roman" w:eastAsia="宋体" w:cs="Times New Roman"/>
                      <w:color w:val="auto"/>
                      <w:kern w:val="0"/>
                      <w:sz w:val="21"/>
                      <w:szCs w:val="21"/>
                      <w:highlight w:val="none"/>
                      <w:lang w:val="en-US" w:eastAsia="zh-CN" w:bidi="en-US"/>
                    </w:rPr>
                    <w:t>租赁现有闲置工业用房进行项目建设，项目距离附近环境保护目标较远，项目配套设置相应环保治理措施，项目运行不会对区域环境造成污染。</w:t>
                  </w:r>
                </w:p>
              </w:tc>
              <w:tc>
                <w:tcPr>
                  <w:tcW w:w="579" w:type="pct"/>
                  <w:tcBorders>
                    <w:tl2br w:val="nil"/>
                    <w:tr2bl w:val="nil"/>
                  </w:tcBorders>
                  <w:noWrap w:val="0"/>
                  <w:vAlign w:val="center"/>
                </w:tcPr>
                <w:p w14:paraId="78C0721A">
                  <w:pPr>
                    <w:pStyle w:val="29"/>
                    <w:widowControl w:val="0"/>
                    <w:numPr>
                      <w:ilvl w:val="0"/>
                      <w:numId w:val="0"/>
                    </w:numPr>
                    <w:adjustRightInd w:val="0"/>
                    <w:snapToGrid w:val="0"/>
                    <w:spacing w:line="240" w:lineRule="auto"/>
                    <w:jc w:val="center"/>
                    <w:rPr>
                      <w:rFonts w:hint="default" w:cs="Times New Roman"/>
                      <w:color w:val="auto"/>
                      <w:kern w:val="0"/>
                      <w:sz w:val="21"/>
                      <w:szCs w:val="21"/>
                      <w:highlight w:val="none"/>
                      <w:vertAlign w:val="baseline"/>
                      <w:lang w:val="en-US" w:eastAsia="zh-CN" w:bidi="en-US"/>
                    </w:rPr>
                  </w:pPr>
                  <w:r>
                    <w:rPr>
                      <w:rFonts w:hint="eastAsia" w:cs="Times New Roman"/>
                      <w:color w:val="auto"/>
                      <w:kern w:val="0"/>
                      <w:sz w:val="21"/>
                      <w:szCs w:val="21"/>
                      <w:highlight w:val="none"/>
                      <w:vertAlign w:val="baseline"/>
                      <w:lang w:val="en-US" w:eastAsia="zh-CN" w:bidi="en-US"/>
                    </w:rPr>
                    <w:t>符合</w:t>
                  </w:r>
                </w:p>
              </w:tc>
            </w:tr>
          </w:tbl>
          <w:p w14:paraId="35B99B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en-US"/>
              </w:rPr>
            </w:pPr>
            <w:r>
              <w:rPr>
                <w:rFonts w:hint="default" w:ascii="Times New Roman" w:hAnsi="Times New Roman" w:eastAsia="宋体" w:cs="Times New Roman"/>
                <w:color w:val="auto"/>
                <w:kern w:val="0"/>
                <w:sz w:val="24"/>
                <w:szCs w:val="24"/>
                <w:lang w:val="en-US" w:eastAsia="zh-CN" w:bidi="en-US"/>
              </w:rPr>
              <w:t>2.与《沈本新城总体规划（2013</w:t>
            </w:r>
            <w:r>
              <w:rPr>
                <w:rFonts w:hint="eastAsia" w:ascii="Times New Roman" w:hAnsi="Times New Roman" w:eastAsia="宋体" w:cs="Times New Roman"/>
                <w:color w:val="auto"/>
                <w:kern w:val="0"/>
                <w:sz w:val="24"/>
                <w:szCs w:val="24"/>
                <w:lang w:val="en-US" w:eastAsia="zh-CN" w:bidi="en-US"/>
              </w:rPr>
              <w:t>-</w:t>
            </w:r>
            <w:r>
              <w:rPr>
                <w:rFonts w:hint="default" w:ascii="Times New Roman" w:hAnsi="Times New Roman" w:eastAsia="宋体" w:cs="Times New Roman"/>
                <w:color w:val="auto"/>
                <w:kern w:val="0"/>
                <w:sz w:val="24"/>
                <w:szCs w:val="24"/>
                <w:lang w:val="en-US" w:eastAsia="zh-CN" w:bidi="en-US"/>
              </w:rPr>
              <w:t>2030）环境影响报告书》及《关于沈本新城总体规划（2013-2030）环境影响报告书的审查意见》（本环规审字[2014]2号）的符合性分析</w:t>
            </w:r>
          </w:p>
          <w:p w14:paraId="12090F4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eastAsia" w:ascii="黑体" w:hAnsi="黑体" w:eastAsia="黑体" w:cs="黑体"/>
                <w:color w:val="auto"/>
                <w:kern w:val="0"/>
                <w:sz w:val="21"/>
                <w:szCs w:val="21"/>
                <w:highlight w:val="none"/>
                <w:lang w:val="en-US" w:eastAsia="zh-CN" w:bidi="en-US"/>
              </w:rPr>
            </w:pPr>
            <w:r>
              <w:rPr>
                <w:rFonts w:hint="eastAsia" w:ascii="黑体" w:hAnsi="黑体" w:eastAsia="黑体" w:cs="黑体"/>
                <w:color w:val="auto"/>
                <w:kern w:val="0"/>
                <w:sz w:val="21"/>
                <w:szCs w:val="21"/>
                <w:highlight w:val="none"/>
                <w:lang w:val="en-US" w:eastAsia="zh-CN" w:bidi="en-US"/>
              </w:rPr>
              <w:t>表1-2本项目与规划环评及审查意见相符性分析</w:t>
            </w:r>
          </w:p>
          <w:tbl>
            <w:tblPr>
              <w:tblStyle w:val="2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2591"/>
              <w:gridCol w:w="2223"/>
              <w:gridCol w:w="775"/>
            </w:tblGrid>
            <w:tr w14:paraId="3C78E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35" w:type="pct"/>
                  <w:gridSpan w:val="2"/>
                  <w:tcBorders>
                    <w:tl2br w:val="nil"/>
                    <w:tr2bl w:val="nil"/>
                  </w:tcBorders>
                  <w:noWrap w:val="0"/>
                  <w:vAlign w:val="center"/>
                </w:tcPr>
                <w:p w14:paraId="669A5AF9">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规划及审查意见要求</w:t>
                  </w:r>
                </w:p>
              </w:tc>
              <w:tc>
                <w:tcPr>
                  <w:tcW w:w="1678" w:type="pct"/>
                  <w:tcBorders>
                    <w:tl2br w:val="nil"/>
                    <w:tr2bl w:val="nil"/>
                  </w:tcBorders>
                  <w:noWrap w:val="0"/>
                  <w:vAlign w:val="center"/>
                </w:tcPr>
                <w:p w14:paraId="27C9FCD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本项目落实情况</w:t>
                  </w:r>
                </w:p>
              </w:tc>
              <w:tc>
                <w:tcPr>
                  <w:tcW w:w="585" w:type="pct"/>
                  <w:tcBorders>
                    <w:tl2br w:val="nil"/>
                    <w:tr2bl w:val="nil"/>
                  </w:tcBorders>
                  <w:noWrap w:val="0"/>
                  <w:vAlign w:val="center"/>
                </w:tcPr>
                <w:p w14:paraId="2BE9AAFA">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符合性</w:t>
                  </w:r>
                </w:p>
              </w:tc>
            </w:tr>
            <w:tr w14:paraId="7D075C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restart"/>
                  <w:tcBorders>
                    <w:tl2br w:val="nil"/>
                    <w:tr2bl w:val="nil"/>
                  </w:tcBorders>
                  <w:noWrap w:val="0"/>
                  <w:vAlign w:val="center"/>
                </w:tcPr>
                <w:p w14:paraId="49F9FD42">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lang w:val="en-US" w:eastAsia="zh-CN" w:bidi="en-US"/>
                    </w:rPr>
                    <w:t>沈本新城总体规划（2013～2030）环境影响报告书</w:t>
                  </w:r>
                </w:p>
              </w:tc>
              <w:tc>
                <w:tcPr>
                  <w:tcW w:w="1955" w:type="pct"/>
                  <w:tcBorders>
                    <w:tl2br w:val="nil"/>
                    <w:tr2bl w:val="nil"/>
                  </w:tcBorders>
                  <w:noWrap w:val="0"/>
                  <w:vAlign w:val="center"/>
                </w:tcPr>
                <w:p w14:paraId="6C07181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right="0" w:rightChars="0"/>
                    <w:jc w:val="both"/>
                    <w:textAlignment w:val="auto"/>
                    <w:outlineLvl w:val="9"/>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highlight w:val="none"/>
                      <w:vertAlign w:val="baseline"/>
                      <w:lang w:val="en-US" w:eastAsia="zh-CN"/>
                    </w:rPr>
                    <w:t>采取节水措施，增加工业循环水的利用率，减少新鲜水的利用量及污水的排放量。</w:t>
                  </w:r>
                </w:p>
              </w:tc>
              <w:tc>
                <w:tcPr>
                  <w:tcW w:w="1678" w:type="pct"/>
                  <w:tcBorders>
                    <w:tl2br w:val="nil"/>
                    <w:tr2bl w:val="nil"/>
                  </w:tcBorders>
                  <w:noWrap w:val="0"/>
                  <w:vAlign w:val="center"/>
                </w:tcPr>
                <w:p w14:paraId="0871AC9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both"/>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本项目</w:t>
                  </w:r>
                  <w:r>
                    <w:rPr>
                      <w:rFonts w:hint="eastAsia" w:ascii="Times New Roman" w:hAnsi="Times New Roman" w:eastAsia="宋体" w:cs="Times New Roman"/>
                      <w:color w:val="auto"/>
                      <w:kern w:val="0"/>
                      <w:sz w:val="21"/>
                      <w:szCs w:val="21"/>
                      <w:highlight w:val="none"/>
                      <w:vertAlign w:val="baseline"/>
                      <w:lang w:val="en-US" w:eastAsia="zh-CN" w:bidi="en-US"/>
                    </w:rPr>
                    <w:t>生产工艺过程无需用水</w:t>
                  </w:r>
                  <w:r>
                    <w:rPr>
                      <w:rFonts w:hint="default" w:ascii="Times New Roman" w:hAnsi="Times New Roman" w:eastAsia="宋体" w:cs="Times New Roman"/>
                      <w:color w:val="auto"/>
                      <w:kern w:val="0"/>
                      <w:sz w:val="21"/>
                      <w:szCs w:val="21"/>
                      <w:highlight w:val="none"/>
                      <w:vertAlign w:val="baseline"/>
                      <w:lang w:val="en-US" w:eastAsia="zh-CN" w:bidi="en-US"/>
                    </w:rPr>
                    <w:t>。</w:t>
                  </w:r>
                </w:p>
              </w:tc>
              <w:tc>
                <w:tcPr>
                  <w:tcW w:w="585" w:type="pct"/>
                  <w:tcBorders>
                    <w:tl2br w:val="nil"/>
                    <w:tr2bl w:val="nil"/>
                  </w:tcBorders>
                  <w:noWrap w:val="0"/>
                  <w:vAlign w:val="center"/>
                </w:tcPr>
                <w:p w14:paraId="0C382BB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w:t>
                  </w:r>
                </w:p>
              </w:tc>
            </w:tr>
            <w:tr w14:paraId="174A20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continue"/>
                  <w:tcBorders>
                    <w:tl2br w:val="nil"/>
                    <w:tr2bl w:val="nil"/>
                  </w:tcBorders>
                  <w:noWrap w:val="0"/>
                  <w:vAlign w:val="center"/>
                </w:tcPr>
                <w:p w14:paraId="554623ED">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p>
              </w:tc>
              <w:tc>
                <w:tcPr>
                  <w:tcW w:w="1955" w:type="pct"/>
                  <w:tcBorders>
                    <w:tl2br w:val="nil"/>
                    <w:tr2bl w:val="nil"/>
                  </w:tcBorders>
                  <w:noWrap w:val="0"/>
                  <w:vAlign w:val="center"/>
                </w:tcPr>
                <w:p w14:paraId="18B3591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right="0" w:rightChars="0"/>
                    <w:jc w:val="both"/>
                    <w:textAlignment w:val="auto"/>
                    <w:outlineLvl w:val="9"/>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sz w:val="21"/>
                      <w:szCs w:val="21"/>
                      <w:highlight w:val="none"/>
                      <w:vertAlign w:val="baseline"/>
                      <w:lang w:val="en-US" w:eastAsia="zh-CN"/>
                    </w:rPr>
                    <w:t>设定合理的单位土地经济强度指标，对入区企业实行准入控制，实现土地利用效益最大化。</w:t>
                  </w:r>
                </w:p>
              </w:tc>
              <w:tc>
                <w:tcPr>
                  <w:tcW w:w="1678" w:type="pct"/>
                  <w:tcBorders>
                    <w:tl2br w:val="nil"/>
                    <w:tr2bl w:val="nil"/>
                  </w:tcBorders>
                  <w:noWrap w:val="0"/>
                  <w:vAlign w:val="center"/>
                </w:tcPr>
                <w:p w14:paraId="76EBCAD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both"/>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lang w:val="en-US" w:eastAsia="zh-CN" w:bidi="en-US"/>
                    </w:rPr>
                    <w:t>项目租赁</w:t>
                  </w:r>
                  <w:r>
                    <w:rPr>
                      <w:rFonts w:hint="eastAsia" w:ascii="Times New Roman" w:hAnsi="Times New Roman" w:eastAsia="宋体" w:cs="Times New Roman"/>
                      <w:color w:val="auto"/>
                      <w:kern w:val="0"/>
                      <w:sz w:val="21"/>
                      <w:szCs w:val="21"/>
                      <w:highlight w:val="none"/>
                      <w:lang w:val="en-US" w:eastAsia="zh-CN" w:bidi="en-US"/>
                    </w:rPr>
                    <w:t>现有闲置工业用房进行项目建设</w:t>
                  </w:r>
                  <w:r>
                    <w:rPr>
                      <w:rFonts w:hint="default" w:ascii="Times New Roman" w:hAnsi="Times New Roman" w:eastAsia="宋体" w:cs="Times New Roman"/>
                      <w:color w:val="auto"/>
                      <w:kern w:val="0"/>
                      <w:sz w:val="21"/>
                      <w:szCs w:val="21"/>
                      <w:highlight w:val="none"/>
                      <w:lang w:val="en-US" w:eastAsia="zh-CN" w:bidi="en-US"/>
                    </w:rPr>
                    <w:t>，无新增占地。</w:t>
                  </w:r>
                </w:p>
              </w:tc>
              <w:tc>
                <w:tcPr>
                  <w:tcW w:w="585" w:type="pct"/>
                  <w:tcBorders>
                    <w:tl2br w:val="nil"/>
                    <w:tr2bl w:val="nil"/>
                  </w:tcBorders>
                  <w:noWrap w:val="0"/>
                  <w:vAlign w:val="center"/>
                </w:tcPr>
                <w:p w14:paraId="09A54FD1">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w:t>
                  </w:r>
                </w:p>
              </w:tc>
            </w:tr>
            <w:tr w14:paraId="3F9EB7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restart"/>
                  <w:tcBorders>
                    <w:tl2br w:val="nil"/>
                    <w:tr2bl w:val="nil"/>
                  </w:tcBorders>
                  <w:noWrap w:val="0"/>
                  <w:vAlign w:val="center"/>
                </w:tcPr>
                <w:p w14:paraId="6477B21C">
                  <w:pPr>
                    <w:keepNext w:val="0"/>
                    <w:keepLines w:val="0"/>
                    <w:pageBreakBefore w:val="0"/>
                    <w:widowControl/>
                    <w:suppressLineNumbers w:val="0"/>
                    <w:kinsoku/>
                    <w:wordWrap/>
                    <w:overflowPunct/>
                    <w:topLinePunct w:val="0"/>
                    <w:autoSpaceDE/>
                    <w:autoSpaceDN/>
                    <w:bidi w:val="0"/>
                    <w:adjustRightInd w:val="0"/>
                    <w:snapToGrid w:val="0"/>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lang w:val="en-US" w:eastAsia="zh-CN" w:bidi="en-US"/>
                    </w:rPr>
                    <w:t>审查意见</w:t>
                  </w:r>
                </w:p>
              </w:tc>
              <w:tc>
                <w:tcPr>
                  <w:tcW w:w="1955" w:type="pct"/>
                  <w:tcBorders>
                    <w:tl2br w:val="nil"/>
                    <w:tr2bl w:val="nil"/>
                  </w:tcBorders>
                  <w:noWrap w:val="0"/>
                  <w:vAlign w:val="center"/>
                </w:tcPr>
                <w:p w14:paraId="33925694">
                  <w:pPr>
                    <w:pStyle w:val="50"/>
                    <w:keepNext w:val="0"/>
                    <w:keepLines w:val="0"/>
                    <w:pageBreakBefore w:val="0"/>
                    <w:kinsoku/>
                    <w:wordWrap/>
                    <w:overflowPunct/>
                    <w:topLinePunct w:val="0"/>
                    <w:autoSpaceDE/>
                    <w:autoSpaceDN/>
                    <w:bidi w:val="0"/>
                    <w:adjustRightInd w:val="0"/>
                    <w:snapToGrid w:val="0"/>
                    <w:spacing w:line="240" w:lineRule="auto"/>
                    <w:ind w:right="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rPr>
                    <w:t>严格控制引进项目环保准入条件，主导产业医疗器械工艺中可能涉及到化学电镀、高端仿制药及化药中部分产品属于“高污染、高风险、高能耗”项目，应予严格控制，严禁入驻，进一步核定工业用地类别</w:t>
                  </w:r>
                  <w:r>
                    <w:rPr>
                      <w:rFonts w:hint="default" w:ascii="Times New Roman" w:hAnsi="Times New Roman" w:eastAsia="宋体" w:cs="Times New Roman"/>
                      <w:color w:val="auto"/>
                      <w:sz w:val="21"/>
                      <w:szCs w:val="21"/>
                      <w:lang w:eastAsia="zh-CN"/>
                    </w:rPr>
                    <w:t>。</w:t>
                  </w:r>
                </w:p>
              </w:tc>
              <w:tc>
                <w:tcPr>
                  <w:tcW w:w="1678" w:type="pct"/>
                  <w:tcBorders>
                    <w:tl2br w:val="nil"/>
                    <w:tr2bl w:val="nil"/>
                  </w:tcBorders>
                  <w:noWrap w:val="0"/>
                  <w:vAlign w:val="center"/>
                </w:tcPr>
                <w:p w14:paraId="2C750C9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both"/>
                    <w:textAlignment w:val="auto"/>
                    <w:rPr>
                      <w:rFonts w:hint="eastAsia"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b w:val="0"/>
                      <w:color w:val="auto"/>
                      <w:kern w:val="2"/>
                      <w:sz w:val="21"/>
                      <w:szCs w:val="21"/>
                      <w:highlight w:val="none"/>
                      <w:lang w:val="en-US" w:eastAsia="zh-CN" w:bidi="ar-SA"/>
                    </w:rPr>
                    <w:t>根据《产业结构调整指导目录（2024年本）》本项目为</w:t>
                  </w:r>
                  <w:r>
                    <w:rPr>
                      <w:rFonts w:hint="eastAsia" w:ascii="Times New Roman" w:hAnsi="Times New Roman" w:eastAsia="宋体" w:cs="Times New Roman"/>
                      <w:b w:val="0"/>
                      <w:color w:val="auto"/>
                      <w:kern w:val="2"/>
                      <w:sz w:val="21"/>
                      <w:szCs w:val="21"/>
                      <w:highlight w:val="none"/>
                      <w:lang w:val="en-US" w:eastAsia="zh-CN" w:bidi="ar-SA"/>
                    </w:rPr>
                    <w:t>允许类</w:t>
                  </w:r>
                  <w:r>
                    <w:rPr>
                      <w:rFonts w:hint="default" w:ascii="Times New Roman" w:hAnsi="Times New Roman" w:eastAsia="宋体" w:cs="Times New Roman"/>
                      <w:b w:val="0"/>
                      <w:color w:val="auto"/>
                      <w:kern w:val="2"/>
                      <w:sz w:val="21"/>
                      <w:szCs w:val="21"/>
                      <w:highlight w:val="none"/>
                      <w:lang w:val="en-US" w:eastAsia="zh-CN" w:bidi="ar-SA"/>
                    </w:rPr>
                    <w:t>项目</w:t>
                  </w:r>
                  <w:r>
                    <w:rPr>
                      <w:rFonts w:hint="default" w:ascii="Times New Roman" w:hAnsi="Times New Roman" w:eastAsia="宋体" w:cs="Times New Roman"/>
                      <w:color w:val="auto"/>
                      <w:kern w:val="0"/>
                      <w:sz w:val="21"/>
                      <w:szCs w:val="21"/>
                      <w:highlight w:val="none"/>
                      <w:lang w:val="en-US" w:eastAsia="zh-CN" w:bidi="en-US"/>
                    </w:rPr>
                    <w:t>。</w:t>
                  </w:r>
                  <w:r>
                    <w:rPr>
                      <w:rFonts w:hint="eastAsia" w:ascii="Times New Roman" w:hAnsi="Times New Roman" w:eastAsia="宋体" w:cs="Times New Roman"/>
                      <w:color w:val="auto"/>
                      <w:kern w:val="0"/>
                      <w:sz w:val="21"/>
                      <w:szCs w:val="21"/>
                      <w:highlight w:val="none"/>
                      <w:lang w:val="en-US" w:eastAsia="zh-CN" w:bidi="en-US"/>
                    </w:rPr>
                    <w:t>不属于</w:t>
                  </w:r>
                  <w:r>
                    <w:rPr>
                      <w:rFonts w:hint="default" w:ascii="Times New Roman" w:hAnsi="Times New Roman" w:eastAsia="宋体" w:cs="Times New Roman"/>
                      <w:color w:val="auto"/>
                      <w:sz w:val="21"/>
                      <w:szCs w:val="21"/>
                    </w:rPr>
                    <w:t>“高污染、高风险、高能耗”项目</w:t>
                  </w:r>
                  <w:r>
                    <w:rPr>
                      <w:rFonts w:hint="eastAsia" w:ascii="Times New Roman" w:hAnsi="Times New Roman" w:eastAsia="宋体" w:cs="Times New Roman"/>
                      <w:color w:val="auto"/>
                      <w:sz w:val="21"/>
                      <w:szCs w:val="21"/>
                      <w:lang w:eastAsia="zh-CN"/>
                    </w:rPr>
                    <w:t>。</w:t>
                  </w:r>
                </w:p>
              </w:tc>
              <w:tc>
                <w:tcPr>
                  <w:tcW w:w="585" w:type="pct"/>
                  <w:tcBorders>
                    <w:tl2br w:val="nil"/>
                    <w:tr2bl w:val="nil"/>
                  </w:tcBorders>
                  <w:noWrap w:val="0"/>
                  <w:vAlign w:val="center"/>
                </w:tcPr>
                <w:p w14:paraId="08BBF23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w:t>
                  </w:r>
                </w:p>
              </w:tc>
            </w:tr>
            <w:tr w14:paraId="4934F7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780" w:type="pct"/>
                  <w:vMerge w:val="continue"/>
                  <w:tcBorders>
                    <w:tl2br w:val="nil"/>
                    <w:tr2bl w:val="nil"/>
                  </w:tcBorders>
                  <w:noWrap w:val="0"/>
                  <w:vAlign w:val="center"/>
                </w:tcPr>
                <w:p w14:paraId="7E95ED3C">
                  <w:pPr>
                    <w:keepNext w:val="0"/>
                    <w:keepLines w:val="0"/>
                    <w:pageBreakBefore w:val="0"/>
                    <w:widowControl/>
                    <w:suppressLineNumbers w:val="0"/>
                    <w:kinsoku/>
                    <w:wordWrap/>
                    <w:overflowPunct/>
                    <w:topLinePunct w:val="0"/>
                    <w:autoSpaceDE/>
                    <w:autoSpaceDN/>
                    <w:bidi w:val="0"/>
                    <w:adjustRightInd w:val="0"/>
                    <w:snapToGrid w:val="0"/>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p>
              </w:tc>
              <w:tc>
                <w:tcPr>
                  <w:tcW w:w="1955" w:type="pct"/>
                  <w:tcBorders>
                    <w:tl2br w:val="nil"/>
                    <w:tr2bl w:val="nil"/>
                  </w:tcBorders>
                  <w:noWrap w:val="0"/>
                  <w:vAlign w:val="center"/>
                </w:tcPr>
                <w:p w14:paraId="2EF5D553">
                  <w:pPr>
                    <w:pStyle w:val="50"/>
                    <w:keepNext w:val="0"/>
                    <w:keepLines w:val="0"/>
                    <w:pageBreakBefore w:val="0"/>
                    <w:kinsoku/>
                    <w:wordWrap/>
                    <w:overflowPunct/>
                    <w:topLinePunct w:val="0"/>
                    <w:autoSpaceDE/>
                    <w:autoSpaceDN/>
                    <w:bidi w:val="0"/>
                    <w:adjustRightInd w:val="0"/>
                    <w:snapToGrid w:val="0"/>
                    <w:spacing w:line="240" w:lineRule="auto"/>
                    <w:ind w:right="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rPr>
                    <w:t>沈本新城北接沈阳市、东北邻抚顺市，西侧为辽阳市、东侧和南侧为本溪市，要严格控制跨界污染和扰民现象产生</w:t>
                  </w:r>
                  <w:r>
                    <w:rPr>
                      <w:rFonts w:hint="default" w:ascii="Times New Roman" w:hAnsi="Times New Roman" w:eastAsia="宋体" w:cs="Times New Roman"/>
                      <w:color w:val="auto"/>
                      <w:sz w:val="21"/>
                      <w:szCs w:val="21"/>
                      <w:lang w:eastAsia="zh-CN"/>
                    </w:rPr>
                    <w:t>。</w:t>
                  </w:r>
                </w:p>
              </w:tc>
              <w:tc>
                <w:tcPr>
                  <w:tcW w:w="1678" w:type="pct"/>
                  <w:tcBorders>
                    <w:tl2br w:val="nil"/>
                    <w:tr2bl w:val="nil"/>
                  </w:tcBorders>
                  <w:noWrap w:val="0"/>
                  <w:vAlign w:val="center"/>
                </w:tcPr>
                <w:p w14:paraId="6415676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both"/>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lang w:val="en-US" w:eastAsia="zh-CN" w:bidi="en-US"/>
                    </w:rPr>
                    <w:t>项目租赁</w:t>
                  </w:r>
                  <w:r>
                    <w:rPr>
                      <w:rFonts w:hint="eastAsia" w:ascii="Times New Roman" w:hAnsi="Times New Roman" w:eastAsia="宋体" w:cs="Times New Roman"/>
                      <w:color w:val="auto"/>
                      <w:kern w:val="0"/>
                      <w:sz w:val="21"/>
                      <w:szCs w:val="21"/>
                      <w:highlight w:val="none"/>
                      <w:lang w:val="en-US" w:eastAsia="zh-CN" w:bidi="en-US"/>
                    </w:rPr>
                    <w:t>现有工业用房</w:t>
                  </w:r>
                  <w:r>
                    <w:rPr>
                      <w:rFonts w:hint="default" w:ascii="Times New Roman" w:hAnsi="Times New Roman" w:eastAsia="宋体" w:cs="Times New Roman"/>
                      <w:color w:val="auto"/>
                      <w:kern w:val="0"/>
                      <w:sz w:val="21"/>
                      <w:szCs w:val="21"/>
                      <w:highlight w:val="none"/>
                      <w:lang w:val="en-US" w:eastAsia="zh-CN" w:bidi="en-US"/>
                    </w:rPr>
                    <w:t>进行项目建设，并配套环保设施，各项污染因子达标排放，无跨界污染及扰民现象。</w:t>
                  </w:r>
                </w:p>
              </w:tc>
              <w:tc>
                <w:tcPr>
                  <w:tcW w:w="585" w:type="pct"/>
                  <w:tcBorders>
                    <w:tl2br w:val="nil"/>
                    <w:tr2bl w:val="nil"/>
                  </w:tcBorders>
                  <w:noWrap w:val="0"/>
                  <w:vAlign w:val="center"/>
                </w:tcPr>
                <w:p w14:paraId="4933221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w:t>
                  </w:r>
                </w:p>
              </w:tc>
            </w:tr>
            <w:tr w14:paraId="712B3D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continue"/>
                  <w:tcBorders>
                    <w:tl2br w:val="nil"/>
                    <w:tr2bl w:val="nil"/>
                  </w:tcBorders>
                  <w:noWrap w:val="0"/>
                  <w:vAlign w:val="center"/>
                </w:tcPr>
                <w:p w14:paraId="37D21B58">
                  <w:pPr>
                    <w:keepNext w:val="0"/>
                    <w:keepLines w:val="0"/>
                    <w:pageBreakBefore w:val="0"/>
                    <w:widowControl/>
                    <w:suppressLineNumbers w:val="0"/>
                    <w:kinsoku/>
                    <w:wordWrap/>
                    <w:overflowPunct/>
                    <w:topLinePunct w:val="0"/>
                    <w:autoSpaceDE/>
                    <w:autoSpaceDN/>
                    <w:bidi w:val="0"/>
                    <w:adjustRightInd w:val="0"/>
                    <w:snapToGrid w:val="0"/>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p>
              </w:tc>
              <w:tc>
                <w:tcPr>
                  <w:tcW w:w="1955" w:type="pct"/>
                  <w:tcBorders>
                    <w:tl2br w:val="nil"/>
                    <w:tr2bl w:val="nil"/>
                  </w:tcBorders>
                  <w:noWrap w:val="0"/>
                  <w:vAlign w:val="center"/>
                </w:tcPr>
                <w:p w14:paraId="429CEBC4">
                  <w:pPr>
                    <w:pStyle w:val="50"/>
                    <w:keepNext w:val="0"/>
                    <w:keepLines w:val="0"/>
                    <w:pageBreakBefore w:val="0"/>
                    <w:kinsoku/>
                    <w:wordWrap/>
                    <w:overflowPunct/>
                    <w:topLinePunct w:val="0"/>
                    <w:autoSpaceDE/>
                    <w:autoSpaceDN/>
                    <w:bidi w:val="0"/>
                    <w:adjustRightInd w:val="0"/>
                    <w:snapToGrid w:val="0"/>
                    <w:spacing w:line="240" w:lineRule="auto"/>
                    <w:ind w:right="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rPr>
                    <w:t>沈本新城规划建设的工业区基本是沿着河流建设的，河流两岸生态易遭破坏，河体水质易受污染，建议沿河两岸应严格要求设置绿化隔离带</w:t>
                  </w:r>
                  <w:r>
                    <w:rPr>
                      <w:rFonts w:hint="default" w:ascii="Times New Roman" w:hAnsi="Times New Roman" w:eastAsia="宋体" w:cs="Times New Roman"/>
                      <w:color w:val="auto"/>
                      <w:sz w:val="21"/>
                      <w:szCs w:val="21"/>
                      <w:lang w:eastAsia="zh-CN"/>
                    </w:rPr>
                    <w:t>。</w:t>
                  </w:r>
                </w:p>
              </w:tc>
              <w:tc>
                <w:tcPr>
                  <w:tcW w:w="1678" w:type="pct"/>
                  <w:tcBorders>
                    <w:tl2br w:val="nil"/>
                    <w:tr2bl w:val="nil"/>
                  </w:tcBorders>
                  <w:noWrap w:val="0"/>
                  <w:vAlign w:val="center"/>
                </w:tcPr>
                <w:p w14:paraId="0EFB4FE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both"/>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lang w:val="en-US" w:eastAsia="zh-CN" w:bidi="en-US"/>
                    </w:rPr>
                    <w:t>本项目</w:t>
                  </w:r>
                  <w:r>
                    <w:rPr>
                      <w:rFonts w:hint="eastAsia" w:ascii="Times New Roman" w:hAnsi="Times New Roman" w:eastAsia="宋体" w:cs="Times New Roman"/>
                      <w:color w:val="auto"/>
                      <w:kern w:val="0"/>
                      <w:sz w:val="21"/>
                      <w:szCs w:val="21"/>
                      <w:highlight w:val="none"/>
                      <w:lang w:val="en-US" w:eastAsia="zh-CN" w:bidi="en-US"/>
                    </w:rPr>
                    <w:t>生活</w:t>
                  </w:r>
                  <w:r>
                    <w:rPr>
                      <w:rFonts w:hint="default" w:ascii="Times New Roman" w:hAnsi="Times New Roman" w:eastAsia="宋体" w:cs="Times New Roman"/>
                      <w:color w:val="auto"/>
                      <w:kern w:val="0"/>
                      <w:sz w:val="21"/>
                      <w:szCs w:val="21"/>
                      <w:highlight w:val="none"/>
                      <w:lang w:val="en-US" w:eastAsia="zh-CN" w:bidi="en-US"/>
                    </w:rPr>
                    <w:t>废水</w:t>
                  </w:r>
                  <w:r>
                    <w:rPr>
                      <w:rFonts w:hint="eastAsia" w:ascii="Times New Roman" w:hAnsi="Times New Roman" w:eastAsia="宋体" w:cs="Times New Roman"/>
                      <w:color w:val="auto"/>
                      <w:kern w:val="0"/>
                      <w:sz w:val="21"/>
                      <w:szCs w:val="21"/>
                      <w:highlight w:val="none"/>
                      <w:lang w:val="en-US" w:eastAsia="zh-CN" w:bidi="en-US"/>
                    </w:rPr>
                    <w:t>经厂区化粪池处理后，排入城镇污水处理厂</w:t>
                  </w:r>
                  <w:r>
                    <w:rPr>
                      <w:rFonts w:hint="default" w:ascii="Times New Roman" w:hAnsi="Times New Roman" w:eastAsia="宋体" w:cs="Times New Roman"/>
                      <w:color w:val="auto"/>
                      <w:kern w:val="0"/>
                      <w:sz w:val="21"/>
                      <w:szCs w:val="21"/>
                      <w:highlight w:val="none"/>
                      <w:lang w:val="en-US" w:eastAsia="zh-CN" w:bidi="en-US"/>
                    </w:rPr>
                    <w:t>，不会对区域地表水体造成污染。</w:t>
                  </w:r>
                </w:p>
              </w:tc>
              <w:tc>
                <w:tcPr>
                  <w:tcW w:w="585" w:type="pct"/>
                  <w:tcBorders>
                    <w:tl2br w:val="nil"/>
                    <w:tr2bl w:val="nil"/>
                  </w:tcBorders>
                  <w:noWrap w:val="0"/>
                  <w:vAlign w:val="center"/>
                </w:tcPr>
                <w:p w14:paraId="0999C14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en-US"/>
                    </w:rPr>
                  </w:pPr>
                  <w:r>
                    <w:rPr>
                      <w:rFonts w:hint="default" w:ascii="Times New Roman" w:hAnsi="Times New Roman" w:eastAsia="宋体" w:cs="Times New Roman"/>
                      <w:color w:val="auto"/>
                      <w:kern w:val="0"/>
                      <w:sz w:val="21"/>
                      <w:szCs w:val="21"/>
                      <w:highlight w:val="none"/>
                      <w:vertAlign w:val="baseline"/>
                      <w:lang w:val="en-US" w:eastAsia="zh-CN" w:bidi="en-US"/>
                    </w:rPr>
                    <w:t>符合</w:t>
                  </w:r>
                </w:p>
              </w:tc>
            </w:tr>
          </w:tbl>
          <w:p w14:paraId="48ED29D0">
            <w:pPr>
              <w:keepNext w:val="0"/>
              <w:keepLines w:val="0"/>
              <w:pageBreakBefore w:val="0"/>
              <w:widowControl w:val="0"/>
              <w:tabs>
                <w:tab w:val="left" w:pos="3270"/>
              </w:tabs>
              <w:kinsoku/>
              <w:wordWrap/>
              <w:overflowPunct/>
              <w:topLinePunct w:val="0"/>
              <w:autoSpaceDE/>
              <w:autoSpaceDN/>
              <w:bidi w:val="0"/>
              <w:adjustRightInd w:val="0"/>
              <w:snapToGrid w:val="0"/>
              <w:spacing w:before="157" w:beforeLines="50" w:line="360" w:lineRule="auto"/>
              <w:ind w:firstLine="3360" w:firstLineChars="1400"/>
              <w:textAlignment w:val="auto"/>
              <w:rPr>
                <w:rFonts w:hint="default" w:ascii="Times New Roman" w:hAnsi="Times New Roman" w:cs="Times New Roman"/>
                <w:color w:val="auto"/>
                <w:highlight w:val="none"/>
                <w:lang w:val="en-US" w:eastAsia="zh-CN"/>
              </w:rPr>
            </w:pPr>
          </w:p>
        </w:tc>
      </w:tr>
    </w:tbl>
    <w:p w14:paraId="0AA8EE50">
      <w:pPr>
        <w:pStyle w:val="2"/>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7956"/>
      </w:tblGrid>
      <w:tr w14:paraId="1B45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2" w:hRule="atLeast"/>
          <w:jc w:val="center"/>
        </w:trPr>
        <w:tc>
          <w:tcPr>
            <w:tcW w:w="566" w:type="dxa"/>
            <w:tcBorders>
              <w:top w:val="single" w:color="auto" w:sz="4" w:space="0"/>
              <w:left w:val="single" w:color="auto" w:sz="4" w:space="0"/>
              <w:bottom w:val="single" w:color="auto" w:sz="4" w:space="0"/>
              <w:right w:val="single" w:color="auto" w:sz="4" w:space="0"/>
            </w:tcBorders>
            <w:noWrap/>
            <w:vAlign w:val="center"/>
          </w:tcPr>
          <w:p w14:paraId="33B5CCBD">
            <w:pPr>
              <w:autoSpaceDE w:val="0"/>
              <w:autoSpaceDN w:val="0"/>
              <w:adjustRightInd w:val="0"/>
              <w:snapToGrid w:val="0"/>
              <w:jc w:val="center"/>
              <w:rPr>
                <w:rFonts w:eastAsia="黑体"/>
                <w:color w:val="auto"/>
                <w:sz w:val="30"/>
                <w:highlight w:val="none"/>
              </w:rPr>
            </w:pPr>
            <w:r>
              <w:rPr>
                <w:rFonts w:hint="eastAsia" w:ascii="宋体" w:hAnsi="宋体" w:cs="宋体"/>
                <w:color w:val="auto"/>
                <w:kern w:val="0"/>
                <w:szCs w:val="21"/>
                <w:highlight w:val="none"/>
              </w:rPr>
              <w:t>其他符合性分析</w:t>
            </w:r>
          </w:p>
        </w:tc>
        <w:tc>
          <w:tcPr>
            <w:tcW w:w="7956" w:type="dxa"/>
            <w:tcBorders>
              <w:top w:val="single" w:color="auto" w:sz="4" w:space="0"/>
              <w:left w:val="single" w:color="auto" w:sz="4" w:space="0"/>
              <w:bottom w:val="single" w:color="auto" w:sz="4" w:space="0"/>
              <w:right w:val="single" w:color="auto" w:sz="4" w:space="0"/>
            </w:tcBorders>
            <w:noWrap/>
          </w:tcPr>
          <w:p w14:paraId="6B6F8E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.本项目与“三线一单”符合性分析</w:t>
            </w:r>
          </w:p>
          <w:p w14:paraId="1D2BDD27">
            <w:pPr>
              <w:pStyle w:val="2"/>
              <w:spacing w:after="0" w:line="360" w:lineRule="auto"/>
              <w:ind w:left="0" w:leftChars="0" w:firstLine="480" w:firstLineChars="200"/>
              <w:rPr>
                <w:rFonts w:hint="default"/>
                <w:color w:val="auto"/>
                <w:sz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根据辽宁省生态环境厅“三线一单”查询系统查询结果，本项目</w:t>
            </w:r>
            <w:r>
              <w:rPr>
                <w:rFonts w:hint="eastAsia" w:cs="Times New Roman"/>
                <w:b w:val="0"/>
                <w:bCs/>
                <w:color w:val="auto"/>
                <w:sz w:val="24"/>
                <w:szCs w:val="24"/>
                <w:highlight w:val="none"/>
                <w:lang w:val="en-US" w:eastAsia="zh-CN"/>
              </w:rPr>
              <w:t>位于本溪高新区技术产业开发区：ZH21050320002</w:t>
            </w: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color w:val="auto"/>
                <w:kern w:val="2"/>
                <w:sz w:val="24"/>
                <w:szCs w:val="24"/>
                <w:highlight w:val="none"/>
                <w:lang w:val="en-US" w:eastAsia="zh-CN" w:bidi="ar-SA"/>
              </w:rPr>
              <w:t>“三线一单”查询</w:t>
            </w:r>
            <w:r>
              <w:rPr>
                <w:rFonts w:hint="eastAsia" w:eastAsia="宋体" w:cs="Times New Roman"/>
                <w:color w:val="auto"/>
                <w:kern w:val="2"/>
                <w:sz w:val="24"/>
                <w:szCs w:val="24"/>
                <w:highlight w:val="none"/>
                <w:lang w:val="en-US" w:eastAsia="zh-CN" w:bidi="ar-SA"/>
              </w:rPr>
              <w:t>结果</w:t>
            </w:r>
            <w:r>
              <w:rPr>
                <w:rFonts w:hint="eastAsia" w:ascii="Times New Roman" w:hAnsi="Times New Roman" w:eastAsia="宋体" w:cs="Times New Roman"/>
                <w:color w:val="auto"/>
                <w:kern w:val="2"/>
                <w:sz w:val="24"/>
                <w:szCs w:val="24"/>
                <w:highlight w:val="none"/>
                <w:lang w:val="en-US" w:eastAsia="zh-CN" w:bidi="ar-SA"/>
              </w:rPr>
              <w:t>见附件</w:t>
            </w:r>
            <w:r>
              <w:rPr>
                <w:rFonts w:hint="eastAsia"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w:t>
            </w:r>
          </w:p>
          <w:p w14:paraId="3F572A46">
            <w:pPr>
              <w:pStyle w:val="33"/>
              <w:keepNext w:val="0"/>
              <w:keepLines w:val="0"/>
              <w:pageBreakBefore w:val="0"/>
              <w:widowControl/>
              <w:kinsoku/>
              <w:wordWrap w:val="0"/>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本溪市生态环境局于2024年12月12日发布关于《本溪市生态环境分区管控成果动态更新》的通知，本项目与该文件符合性分析如下表所示。</w:t>
            </w:r>
          </w:p>
          <w:p w14:paraId="3DBFB472">
            <w:pPr>
              <w:pStyle w:val="33"/>
              <w:ind w:left="0"/>
              <w:jc w:val="center"/>
              <w:rPr>
                <w:rFonts w:ascii="黑体" w:hAnsi="黑体" w:eastAsia="黑体" w:cs="黑体"/>
                <w:color w:val="auto"/>
                <w:highlight w:val="none"/>
              </w:rPr>
            </w:pPr>
            <w:r>
              <w:rPr>
                <w:rFonts w:hint="eastAsia" w:ascii="黑体" w:hAnsi="黑体" w:eastAsia="黑体" w:cs="黑体"/>
                <w:color w:val="auto"/>
                <w:highlight w:val="none"/>
              </w:rPr>
              <w:t>表</w:t>
            </w:r>
            <w:r>
              <w:rPr>
                <w:rFonts w:hint="eastAsia" w:ascii="黑体" w:hAnsi="黑体" w:eastAsia="黑体" w:cs="黑体"/>
                <w:color w:val="auto"/>
                <w:highlight w:val="none"/>
                <w:lang w:val="en-US" w:eastAsia="zh-CN"/>
              </w:rPr>
              <w:t>1</w:t>
            </w:r>
            <w:r>
              <w:rPr>
                <w:rFonts w:hint="eastAsia" w:ascii="黑体" w:hAnsi="黑体" w:eastAsia="黑体" w:cs="黑体"/>
                <w:b w:val="0"/>
                <w:bCs w:val="0"/>
                <w:color w:val="auto"/>
                <w:sz w:val="21"/>
                <w:szCs w:val="21"/>
                <w:highlight w:val="none"/>
                <w:lang w:val="en-US" w:eastAsia="zh-CN"/>
              </w:rPr>
              <w:t>-4</w:t>
            </w:r>
            <w:r>
              <w:rPr>
                <w:rFonts w:hint="eastAsia" w:ascii="黑体" w:hAnsi="黑体" w:eastAsia="黑体" w:cs="黑体"/>
                <w:b w:val="0"/>
                <w:bCs w:val="0"/>
                <w:color w:val="auto"/>
                <w:sz w:val="21"/>
                <w:szCs w:val="21"/>
                <w:highlight w:val="none"/>
              </w:rPr>
              <w:t>与</w:t>
            </w:r>
            <w:r>
              <w:rPr>
                <w:rFonts w:hint="eastAsia" w:ascii="黑体" w:hAnsi="黑体" w:eastAsia="黑体" w:cs="黑体"/>
                <w:b w:val="0"/>
                <w:bCs w:val="0"/>
                <w:color w:val="auto"/>
                <w:sz w:val="21"/>
                <w:szCs w:val="21"/>
                <w:highlight w:val="none"/>
                <w:lang w:val="en-US" w:eastAsia="zh-CN"/>
              </w:rPr>
              <w:t>本溪高新区技术产业开发区</w:t>
            </w:r>
            <w:r>
              <w:rPr>
                <w:rFonts w:hint="eastAsia" w:ascii="黑体" w:hAnsi="黑体" w:eastAsia="黑体" w:cs="黑体"/>
                <w:b w:val="0"/>
                <w:bCs w:val="0"/>
                <w:color w:val="auto"/>
                <w:sz w:val="21"/>
                <w:szCs w:val="21"/>
                <w:highlight w:val="none"/>
              </w:rPr>
              <w:t>生态环境分区管控的意见</w:t>
            </w:r>
            <w:r>
              <w:rPr>
                <w:rFonts w:hint="eastAsia" w:ascii="黑体" w:hAnsi="黑体" w:eastAsia="黑体" w:cs="黑体"/>
                <w:b w:val="0"/>
                <w:bCs w:val="0"/>
                <w:color w:val="auto"/>
                <w:sz w:val="21"/>
                <w:szCs w:val="21"/>
                <w:highlight w:val="none"/>
                <w:lang w:eastAsia="zh-CN"/>
              </w:rPr>
              <w:t>的</w:t>
            </w:r>
            <w:r>
              <w:rPr>
                <w:rFonts w:hint="eastAsia" w:ascii="黑体" w:hAnsi="黑体" w:eastAsia="黑体" w:cs="黑体"/>
                <w:b w:val="0"/>
                <w:bCs w:val="0"/>
                <w:color w:val="auto"/>
                <w:sz w:val="21"/>
                <w:szCs w:val="21"/>
                <w:highlight w:val="none"/>
              </w:rPr>
              <w:t>相符性</w:t>
            </w:r>
            <w:r>
              <w:rPr>
                <w:rFonts w:hint="eastAsia" w:ascii="黑体" w:hAnsi="黑体" w:eastAsia="黑体" w:cs="黑体"/>
                <w:b w:val="0"/>
                <w:bCs w:val="0"/>
                <w:color w:val="auto"/>
                <w:sz w:val="21"/>
                <w:szCs w:val="21"/>
                <w:highlight w:val="none"/>
                <w:lang w:eastAsia="zh-CN"/>
              </w:rPr>
              <w:t>分析</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7"/>
              <w:gridCol w:w="3564"/>
              <w:gridCol w:w="2318"/>
              <w:gridCol w:w="918"/>
            </w:tblGrid>
            <w:tr w14:paraId="762F0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08" w:type="pct"/>
                  <w:gridSpan w:val="2"/>
                  <w:tcBorders>
                    <w:tl2br w:val="nil"/>
                    <w:tr2bl w:val="nil"/>
                  </w:tcBorders>
                  <w:noWrap w:val="0"/>
                  <w:vAlign w:val="center"/>
                </w:tcPr>
                <w:p w14:paraId="271933E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bookmarkStart w:id="1" w:name="_Toc28288"/>
                  <w:r>
                    <w:rPr>
                      <w:rFonts w:hint="default" w:ascii="Times New Roman" w:hAnsi="Times New Roman" w:eastAsia="宋体" w:cs="Times New Roman"/>
                      <w:color w:val="auto"/>
                      <w:sz w:val="21"/>
                      <w:szCs w:val="21"/>
                      <w:highlight w:val="none"/>
                    </w:rPr>
                    <w:t>管控要求</w:t>
                  </w:r>
                  <w:bookmarkEnd w:id="1"/>
                </w:p>
              </w:tc>
              <w:tc>
                <w:tcPr>
                  <w:tcW w:w="1497" w:type="pct"/>
                  <w:tcBorders>
                    <w:tl2br w:val="nil"/>
                    <w:tr2bl w:val="nil"/>
                  </w:tcBorders>
                  <w:noWrap w:val="0"/>
                  <w:vAlign w:val="center"/>
                </w:tcPr>
                <w:p w14:paraId="731C4690">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项目落实情况</w:t>
                  </w:r>
                </w:p>
              </w:tc>
              <w:tc>
                <w:tcPr>
                  <w:tcW w:w="593" w:type="pct"/>
                  <w:tcBorders>
                    <w:tl2br w:val="nil"/>
                    <w:tr2bl w:val="nil"/>
                  </w:tcBorders>
                  <w:noWrap w:val="0"/>
                  <w:vAlign w:val="center"/>
                </w:tcPr>
                <w:p w14:paraId="406EF3D6">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相符性</w:t>
                  </w:r>
                </w:p>
              </w:tc>
            </w:tr>
            <w:tr w14:paraId="0C073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605" w:type="pct"/>
                  <w:tcBorders>
                    <w:tl2br w:val="nil"/>
                    <w:tr2bl w:val="nil"/>
                  </w:tcBorders>
                  <w:noWrap w:val="0"/>
                  <w:vAlign w:val="center"/>
                </w:tcPr>
                <w:p w14:paraId="5A2D1C2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空间约束布局</w:t>
                  </w:r>
                </w:p>
              </w:tc>
              <w:tc>
                <w:tcPr>
                  <w:tcW w:w="2303" w:type="pct"/>
                  <w:tcBorders>
                    <w:tl2br w:val="nil"/>
                    <w:tr2bl w:val="nil"/>
                  </w:tcBorders>
                  <w:noWrap w:val="0"/>
                  <w:vAlign w:val="center"/>
                </w:tcPr>
                <w:p w14:paraId="63DAE8F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1.积极推动园区产业结构向低碳新业态发展，依据国家产业政策严格管控“两高”类项目入区。2.坚决遏制“两高”项目盲目发展，依法依规淘汰落后产能、化解过剩产能。3</w:t>
                  </w:r>
                  <w:r>
                    <w:rPr>
                      <w:rFonts w:hint="eastAsia" w:eastAsia="宋体" w:cs="Times New Roman"/>
                      <w:i w:val="0"/>
                      <w:iCs w:val="0"/>
                      <w:caps w:val="0"/>
                      <w:color w:val="auto"/>
                      <w:spacing w:val="0"/>
                      <w:sz w:val="21"/>
                      <w:szCs w:val="21"/>
                      <w:highlight w:val="none"/>
                      <w:shd w:val="clear" w:color="auto" w:fill="FFFFFF"/>
                      <w:lang w:val="en-US" w:eastAsia="zh-CN"/>
                    </w:rPr>
                    <w:t>.</w:t>
                  </w: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满足重点污染物排放总量控制、碳排放达峰目标、相关规划环评和相应行业建设项目环境准入条件、环评文件审批原则要求。</w:t>
                  </w:r>
                </w:p>
              </w:tc>
              <w:tc>
                <w:tcPr>
                  <w:tcW w:w="1497" w:type="pct"/>
                  <w:tcBorders>
                    <w:tl2br w:val="nil"/>
                    <w:tr2bl w:val="nil"/>
                  </w:tcBorders>
                  <w:noWrap w:val="0"/>
                  <w:vAlign w:val="center"/>
                </w:tcPr>
                <w:p w14:paraId="3579055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kern w:val="0"/>
                      <w:sz w:val="21"/>
                      <w:szCs w:val="21"/>
                      <w:highlight w:val="none"/>
                      <w:lang w:val="en-US" w:eastAsia="zh-CN" w:bidi="en-US"/>
                    </w:rPr>
                    <w:t>本项目为食品级二氧化碳、食品级氮气及食品级一氧化二氮充装项目</w:t>
                  </w:r>
                  <w:r>
                    <w:rPr>
                      <w:rFonts w:hint="eastAsia" w:eastAsia="宋体" w:cs="Times New Roman"/>
                      <w:color w:val="auto"/>
                      <w:kern w:val="0"/>
                      <w:sz w:val="21"/>
                      <w:szCs w:val="21"/>
                      <w:highlight w:val="none"/>
                      <w:lang w:val="en-US" w:eastAsia="zh-CN" w:bidi="en-US"/>
                    </w:rPr>
                    <w:t>，不属于“两高”类项目，符合区域规划环评要求。</w:t>
                  </w:r>
                </w:p>
              </w:tc>
              <w:tc>
                <w:tcPr>
                  <w:tcW w:w="593" w:type="pct"/>
                  <w:tcBorders>
                    <w:tl2br w:val="nil"/>
                    <w:tr2bl w:val="nil"/>
                  </w:tcBorders>
                  <w:noWrap w:val="0"/>
                  <w:vAlign w:val="center"/>
                </w:tcPr>
                <w:p w14:paraId="282975E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3177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5" w:type="pct"/>
                  <w:tcBorders>
                    <w:tl2br w:val="nil"/>
                    <w:tr2bl w:val="nil"/>
                  </w:tcBorders>
                  <w:noWrap w:val="0"/>
                  <w:vAlign w:val="center"/>
                </w:tcPr>
                <w:p w14:paraId="3F40D856">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污染物排放管控</w:t>
                  </w:r>
                </w:p>
              </w:tc>
              <w:tc>
                <w:tcPr>
                  <w:tcW w:w="2303" w:type="pct"/>
                  <w:tcBorders>
                    <w:tl2br w:val="nil"/>
                    <w:tr2bl w:val="nil"/>
                  </w:tcBorders>
                  <w:noWrap w:val="0"/>
                  <w:vAlign w:val="center"/>
                </w:tcPr>
                <w:p w14:paraId="53F7215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1.持续推进园区工业企业大气污染物全面达标排放要求，核发排污许可证的企业将严格依据排污许可证管理要求进行管理。2.深化医药、制药企业VOCs排放治理，采取源头削减、过程控制、末端治理的全过程防治措施，严控工业挥发性有机物排放。</w:t>
                  </w:r>
                </w:p>
              </w:tc>
              <w:tc>
                <w:tcPr>
                  <w:tcW w:w="1497" w:type="pct"/>
                  <w:tcBorders>
                    <w:tl2br w:val="nil"/>
                    <w:tr2bl w:val="nil"/>
                  </w:tcBorders>
                  <w:noWrap w:val="0"/>
                  <w:vAlign w:val="center"/>
                </w:tcPr>
                <w:p w14:paraId="5FCCF55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本项目污染物能够满足达标排放要求，项目实施后，企业根据要求履行排污许可相关手续。</w:t>
                  </w:r>
                </w:p>
              </w:tc>
              <w:tc>
                <w:tcPr>
                  <w:tcW w:w="593" w:type="pct"/>
                  <w:tcBorders>
                    <w:tl2br w:val="nil"/>
                    <w:tr2bl w:val="nil"/>
                  </w:tcBorders>
                  <w:noWrap w:val="0"/>
                  <w:vAlign w:val="center"/>
                </w:tcPr>
                <w:p w14:paraId="1DABEA1B">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04A342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5" w:type="pct"/>
                  <w:tcBorders>
                    <w:tl2br w:val="nil"/>
                    <w:tr2bl w:val="nil"/>
                  </w:tcBorders>
                  <w:noWrap w:val="0"/>
                  <w:vAlign w:val="center"/>
                </w:tcPr>
                <w:p w14:paraId="17A9670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环境风险防控</w:t>
                  </w:r>
                </w:p>
              </w:tc>
              <w:tc>
                <w:tcPr>
                  <w:tcW w:w="2303" w:type="pct"/>
                  <w:tcBorders>
                    <w:tl2br w:val="nil"/>
                    <w:tr2bl w:val="nil"/>
                  </w:tcBorders>
                  <w:noWrap w:val="0"/>
                  <w:vAlign w:val="center"/>
                </w:tcPr>
                <w:p w14:paraId="3CF5840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1.完善与更新重污染天气应急预案；2.细化应急减排措施，落实到企业各工艺环节，鼓励实施“一厂一策”清单化管理。</w:t>
                  </w:r>
                </w:p>
              </w:tc>
              <w:tc>
                <w:tcPr>
                  <w:tcW w:w="1497" w:type="pct"/>
                  <w:tcBorders>
                    <w:tl2br w:val="nil"/>
                    <w:tr2bl w:val="nil"/>
                  </w:tcBorders>
                  <w:noWrap w:val="0"/>
                  <w:vAlign w:val="center"/>
                </w:tcPr>
                <w:p w14:paraId="03DF776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企业制定突发环境应急预案，减少突发环境影响。</w:t>
                  </w:r>
                </w:p>
              </w:tc>
              <w:tc>
                <w:tcPr>
                  <w:tcW w:w="593" w:type="pct"/>
                  <w:tcBorders>
                    <w:tl2br w:val="nil"/>
                    <w:tr2bl w:val="nil"/>
                  </w:tcBorders>
                  <w:noWrap w:val="0"/>
                  <w:vAlign w:val="center"/>
                </w:tcPr>
                <w:p w14:paraId="17CC526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78FB1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5" w:type="pct"/>
                  <w:tcBorders>
                    <w:tl2br w:val="nil"/>
                    <w:tr2bl w:val="nil"/>
                  </w:tcBorders>
                  <w:noWrap w:val="0"/>
                  <w:vAlign w:val="center"/>
                </w:tcPr>
                <w:p w14:paraId="418BB78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资源利用效率要求</w:t>
                  </w:r>
                </w:p>
              </w:tc>
              <w:tc>
                <w:tcPr>
                  <w:tcW w:w="2303" w:type="pct"/>
                  <w:tcBorders>
                    <w:tl2br w:val="nil"/>
                    <w:tr2bl w:val="nil"/>
                  </w:tcBorders>
                  <w:noWrap w:val="0"/>
                  <w:vAlign w:val="center"/>
                </w:tcPr>
                <w:p w14:paraId="5039BE4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pPr>
                  <w:r>
                    <w:rPr>
                      <w:rFonts w:hint="default" w:ascii="Times New Roman" w:hAnsi="Times New Roman" w:eastAsia="宋体" w:cs="Times New Roman"/>
                      <w:i w:val="0"/>
                      <w:iCs w:val="0"/>
                      <w:caps w:val="0"/>
                      <w:color w:val="auto"/>
                      <w:spacing w:val="0"/>
                      <w:sz w:val="21"/>
                      <w:szCs w:val="21"/>
                      <w:highlight w:val="none"/>
                      <w:shd w:val="clear" w:color="auto" w:fill="FFFFFF"/>
                      <w:lang w:val="en-US" w:eastAsia="zh-CN"/>
                    </w:rPr>
                    <w:t>1.企业应当建立节约用水管理制度，使用先进节约用水技术、工艺和设备，采取循环用水、综合利用和废水处理回用等措施，降低用水消耗，提高重复利用率。2.企业主要产品综合能耗达到清洁生产一级/二级水平。</w:t>
                  </w:r>
                </w:p>
              </w:tc>
              <w:tc>
                <w:tcPr>
                  <w:tcW w:w="1497" w:type="pct"/>
                  <w:tcBorders>
                    <w:tl2br w:val="nil"/>
                    <w:tr2bl w:val="nil"/>
                  </w:tcBorders>
                  <w:noWrap w:val="0"/>
                  <w:vAlign w:val="center"/>
                </w:tcPr>
                <w:p w14:paraId="569B52E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企业实际运行过程中建立节约用水管理制度。</w:t>
                  </w:r>
                </w:p>
              </w:tc>
              <w:tc>
                <w:tcPr>
                  <w:tcW w:w="593" w:type="pct"/>
                  <w:tcBorders>
                    <w:tl2br w:val="nil"/>
                    <w:tr2bl w:val="nil"/>
                  </w:tcBorders>
                  <w:noWrap w:val="0"/>
                  <w:vAlign w:val="center"/>
                </w:tcPr>
                <w:p w14:paraId="3D16205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bl>
          <w:p w14:paraId="4AA75A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color w:val="auto"/>
                <w:sz w:val="24"/>
                <w:szCs w:val="24"/>
                <w:highlight w:val="none"/>
                <w:lang w:val="en-US" w:eastAsia="zh-CN"/>
              </w:rPr>
            </w:pPr>
            <w:r>
              <w:rPr>
                <w:rFonts w:hint="eastAsia" w:cs="Times New Roman"/>
                <w:b w:val="0"/>
                <w:bCs/>
                <w:color w:val="auto"/>
                <w:sz w:val="24"/>
                <w:szCs w:val="24"/>
                <w:highlight w:val="none"/>
                <w:lang w:val="en-US" w:eastAsia="zh-CN"/>
              </w:rPr>
              <w:t>2</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本项目与《辽宁省深入打好污染防治攻坚战实施方案》的通知（辽委发</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2022</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8号）符合性分析</w:t>
            </w:r>
          </w:p>
          <w:p w14:paraId="744A3EF1">
            <w:pPr>
              <w:spacing w:line="240" w:lineRule="auto"/>
              <w:jc w:val="center"/>
              <w:rPr>
                <w:rFonts w:hint="eastAsia" w:ascii="黑体" w:hAnsi="黑体" w:eastAsia="黑体" w:cs="黑体"/>
                <w:b w:val="0"/>
                <w:bCs/>
                <w:color w:val="auto"/>
                <w:sz w:val="21"/>
                <w:szCs w:val="21"/>
                <w:highlight w:val="none"/>
              </w:rPr>
            </w:pPr>
          </w:p>
          <w:p w14:paraId="1E14C6B3">
            <w:pPr>
              <w:spacing w:line="240" w:lineRule="auto"/>
              <w:jc w:val="center"/>
              <w:rPr>
                <w:rFonts w:hint="eastAsia" w:ascii="黑体" w:hAnsi="黑体" w:eastAsia="黑体" w:cs="黑体"/>
                <w:b w:val="0"/>
                <w:bCs/>
                <w:color w:val="auto"/>
                <w:sz w:val="21"/>
                <w:szCs w:val="21"/>
                <w:highlight w:val="none"/>
              </w:rPr>
            </w:pPr>
          </w:p>
          <w:p w14:paraId="08363359">
            <w:pPr>
              <w:pStyle w:val="2"/>
              <w:rPr>
                <w:rFonts w:hint="eastAsia"/>
              </w:rPr>
            </w:pPr>
          </w:p>
          <w:p w14:paraId="126395EB">
            <w:pPr>
              <w:spacing w:line="240" w:lineRule="auto"/>
              <w:jc w:val="center"/>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表</w:t>
            </w:r>
            <w:r>
              <w:rPr>
                <w:rFonts w:hint="eastAsia" w:ascii="黑体" w:hAnsi="黑体" w:eastAsia="黑体" w:cs="黑体"/>
                <w:b w:val="0"/>
                <w:bCs/>
                <w:color w:val="auto"/>
                <w:sz w:val="21"/>
                <w:szCs w:val="21"/>
                <w:highlight w:val="none"/>
                <w:lang w:val="en-US" w:eastAsia="zh-CN"/>
              </w:rPr>
              <w:t>1-5</w:t>
            </w:r>
            <w:r>
              <w:rPr>
                <w:rFonts w:hint="eastAsia" w:ascii="黑体" w:hAnsi="黑体" w:eastAsia="黑体" w:cs="黑体"/>
                <w:b w:val="0"/>
                <w:bCs/>
                <w:color w:val="auto"/>
                <w:sz w:val="21"/>
                <w:szCs w:val="21"/>
                <w:highlight w:val="none"/>
              </w:rPr>
              <w:t>与《辽宁省深入打好污染防治攻坚战实施方案》的通知（辽委发</w:t>
            </w:r>
            <w:r>
              <w:rPr>
                <w:rFonts w:hint="eastAsia" w:ascii="黑体" w:hAnsi="黑体" w:eastAsia="黑体" w:cs="黑体"/>
                <w:b w:val="0"/>
                <w:bCs/>
                <w:color w:val="auto"/>
                <w:sz w:val="21"/>
                <w:szCs w:val="21"/>
                <w:highlight w:val="none"/>
                <w:lang w:val="en-US" w:eastAsia="zh-CN"/>
              </w:rPr>
              <w:t>[</w:t>
            </w:r>
            <w:r>
              <w:rPr>
                <w:rFonts w:hint="eastAsia" w:ascii="黑体" w:hAnsi="黑体" w:eastAsia="黑体" w:cs="黑体"/>
                <w:b w:val="0"/>
                <w:bCs/>
                <w:color w:val="auto"/>
                <w:sz w:val="21"/>
                <w:szCs w:val="21"/>
                <w:highlight w:val="none"/>
              </w:rPr>
              <w:t>2022</w:t>
            </w:r>
            <w:r>
              <w:rPr>
                <w:rFonts w:hint="eastAsia" w:ascii="黑体" w:hAnsi="黑体" w:eastAsia="黑体" w:cs="黑体"/>
                <w:b w:val="0"/>
                <w:bCs/>
                <w:color w:val="auto"/>
                <w:sz w:val="21"/>
                <w:szCs w:val="21"/>
                <w:highlight w:val="none"/>
                <w:lang w:val="en-US" w:eastAsia="zh-CN"/>
              </w:rPr>
              <w:t>]</w:t>
            </w:r>
            <w:r>
              <w:rPr>
                <w:rFonts w:hint="eastAsia" w:ascii="黑体" w:hAnsi="黑体" w:eastAsia="黑体" w:cs="黑体"/>
                <w:b w:val="0"/>
                <w:bCs/>
                <w:color w:val="auto"/>
                <w:sz w:val="21"/>
                <w:szCs w:val="21"/>
                <w:highlight w:val="none"/>
              </w:rPr>
              <w:t>8号）符合性分析</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2"/>
              <w:gridCol w:w="3730"/>
              <w:gridCol w:w="1992"/>
              <w:gridCol w:w="1033"/>
            </w:tblGrid>
            <w:tr w14:paraId="44E960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45" w:type="pct"/>
                  <w:gridSpan w:val="2"/>
                  <w:tcBorders>
                    <w:tl2br w:val="nil"/>
                    <w:tr2bl w:val="nil"/>
                  </w:tcBorders>
                  <w:vAlign w:val="center"/>
                </w:tcPr>
                <w:p w14:paraId="1DC626F1">
                  <w:pPr>
                    <w:pStyle w:val="2"/>
                    <w:spacing w:after="0" w:line="240" w:lineRule="auto"/>
                    <w:ind w:left="0" w:lef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文件要求</w:t>
                  </w:r>
                </w:p>
              </w:tc>
              <w:tc>
                <w:tcPr>
                  <w:tcW w:w="1287" w:type="pct"/>
                  <w:tcBorders>
                    <w:tl2br w:val="nil"/>
                    <w:tr2bl w:val="nil"/>
                  </w:tcBorders>
                  <w:vAlign w:val="center"/>
                </w:tcPr>
                <w:p w14:paraId="7AAB08B6">
                  <w:pPr>
                    <w:pStyle w:val="2"/>
                    <w:spacing w:after="0" w:line="240" w:lineRule="auto"/>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项目落实情况</w:t>
                  </w:r>
                </w:p>
              </w:tc>
              <w:tc>
                <w:tcPr>
                  <w:tcW w:w="667" w:type="pct"/>
                  <w:tcBorders>
                    <w:tl2br w:val="nil"/>
                    <w:tr2bl w:val="nil"/>
                  </w:tcBorders>
                  <w:vAlign w:val="center"/>
                </w:tcPr>
                <w:p w14:paraId="54505ADE">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相符性</w:t>
                  </w:r>
                </w:p>
              </w:tc>
            </w:tr>
            <w:tr w14:paraId="774FD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634" w:type="pct"/>
                  <w:vMerge w:val="restart"/>
                  <w:tcBorders>
                    <w:tl2br w:val="nil"/>
                    <w:tr2bl w:val="nil"/>
                  </w:tcBorders>
                  <w:vAlign w:val="center"/>
                </w:tcPr>
                <w:p w14:paraId="7C9CFEB2">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加快推进绿色低碳发展</w:t>
                  </w:r>
                </w:p>
              </w:tc>
              <w:tc>
                <w:tcPr>
                  <w:tcW w:w="2410" w:type="pct"/>
                  <w:tcBorders>
                    <w:tl2br w:val="nil"/>
                    <w:tr2bl w:val="nil"/>
                  </w:tcBorders>
                  <w:vAlign w:val="center"/>
                </w:tcPr>
                <w:p w14:paraId="63697E19">
                  <w:pPr>
                    <w:pStyle w:val="2"/>
                    <w:spacing w:after="0" w:line="240" w:lineRule="auto"/>
                    <w:ind w:left="0" w:leftChars="0"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坚决遏制高耗能高排放项目盲目发展。对“两高”项目实行清单管理、分类处置、动态监控。严格把好新建、扩建钢铁、水泥熟料、平板玻璃、电解铝等高耗能高排放项目准入关。支持符合规定特别是生产国内短缺重要产品、有利于碳达峰碳中和目标实现的项目发展。稳妥做好存量“两高”项目管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合理设置政策过渡期</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积极推进有节能减排潜力的项目改造升级。强化常态化监管</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坚决停批停建不符合规定的“两高”项目。</w:t>
                  </w:r>
                </w:p>
              </w:tc>
              <w:tc>
                <w:tcPr>
                  <w:tcW w:w="1287" w:type="pct"/>
                  <w:tcBorders>
                    <w:tl2br w:val="nil"/>
                    <w:tr2bl w:val="nil"/>
                  </w:tcBorders>
                  <w:vAlign w:val="center"/>
                </w:tcPr>
                <w:p w14:paraId="4815925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宋体" w:cs="Times New Roman"/>
                      <w:color w:val="auto"/>
                      <w:sz w:val="21"/>
                      <w:szCs w:val="21"/>
                      <w:highlight w:val="none"/>
                      <w:shd w:val="clear" w:color="auto" w:fill="FFFFFF"/>
                      <w:lang w:eastAsia="zh-CN"/>
                    </w:rPr>
                  </w:pPr>
                  <w:r>
                    <w:rPr>
                      <w:rFonts w:hint="eastAsia" w:ascii="Times New Roman" w:hAnsi="Times New Roman" w:eastAsia="宋体" w:cs="Times New Roman"/>
                      <w:color w:val="auto"/>
                      <w:kern w:val="0"/>
                      <w:sz w:val="21"/>
                      <w:szCs w:val="21"/>
                      <w:highlight w:val="none"/>
                      <w:lang w:val="en-US" w:eastAsia="zh-CN" w:bidi="en-US"/>
                    </w:rPr>
                    <w:t>本项目为食品级二氧化碳、食品级氮气及食品级一氧化二氮充装项目</w:t>
                  </w:r>
                  <w:r>
                    <w:rPr>
                      <w:rFonts w:hint="eastAsia" w:eastAsia="宋体" w:cs="Times New Roman"/>
                      <w:color w:val="auto"/>
                      <w:kern w:val="0"/>
                      <w:sz w:val="21"/>
                      <w:szCs w:val="21"/>
                      <w:highlight w:val="none"/>
                      <w:lang w:val="en-US" w:eastAsia="zh-CN" w:bidi="en-US"/>
                    </w:rPr>
                    <w:t>，不属于“两高”类项目</w:t>
                  </w:r>
                  <w:r>
                    <w:rPr>
                      <w:rFonts w:hint="eastAsia" w:ascii="宋体" w:hAnsi="宋体" w:eastAsia="宋体" w:cs="宋体"/>
                      <w:color w:val="auto"/>
                      <w:sz w:val="21"/>
                      <w:szCs w:val="21"/>
                      <w:highlight w:val="none"/>
                      <w:vertAlign w:val="baseline"/>
                      <w:lang w:val="en-US" w:eastAsia="zh-CN"/>
                    </w:rPr>
                    <w:t>。</w:t>
                  </w:r>
                </w:p>
              </w:tc>
              <w:tc>
                <w:tcPr>
                  <w:tcW w:w="667" w:type="pct"/>
                  <w:tcBorders>
                    <w:tl2br w:val="nil"/>
                    <w:tr2bl w:val="nil"/>
                  </w:tcBorders>
                  <w:vAlign w:val="center"/>
                </w:tcPr>
                <w:p w14:paraId="40C2158E">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764C5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vMerge w:val="continue"/>
                  <w:tcBorders>
                    <w:tl2br w:val="nil"/>
                    <w:tr2bl w:val="nil"/>
                  </w:tcBorders>
                  <w:vAlign w:val="center"/>
                </w:tcPr>
                <w:p w14:paraId="0E9FCB46">
                  <w:pPr>
                    <w:pStyle w:val="2"/>
                    <w:spacing w:after="0" w:line="240" w:lineRule="auto"/>
                    <w:ind w:left="0" w:leftChars="0"/>
                    <w:jc w:val="center"/>
                    <w:rPr>
                      <w:rFonts w:hint="default" w:ascii="Times New Roman" w:hAnsi="Times New Roman" w:eastAsia="宋体" w:cs="Times New Roman"/>
                      <w:color w:val="auto"/>
                      <w:sz w:val="21"/>
                      <w:szCs w:val="21"/>
                      <w:highlight w:val="none"/>
                    </w:rPr>
                  </w:pPr>
                </w:p>
              </w:tc>
              <w:tc>
                <w:tcPr>
                  <w:tcW w:w="2410" w:type="pct"/>
                  <w:tcBorders>
                    <w:tl2br w:val="nil"/>
                    <w:tr2bl w:val="nil"/>
                  </w:tcBorders>
                  <w:vAlign w:val="center"/>
                </w:tcPr>
                <w:p w14:paraId="2D3C0160">
                  <w:pPr>
                    <w:pStyle w:val="2"/>
                    <w:spacing w:after="0" w:line="240" w:lineRule="auto"/>
                    <w:ind w:left="0" w:leftChars="0"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推进资源节约高效利用和清洁生产。继续推进园区实施循环化改造，推动大宗固体废弃物和工业资源综合利用示范基地建设，推进污水循环利用。</w:t>
                  </w:r>
                </w:p>
              </w:tc>
              <w:tc>
                <w:tcPr>
                  <w:tcW w:w="1287" w:type="pct"/>
                  <w:tcBorders>
                    <w:tl2br w:val="nil"/>
                    <w:tr2bl w:val="nil"/>
                  </w:tcBorders>
                  <w:vAlign w:val="center"/>
                </w:tcPr>
                <w:p w14:paraId="62079B9D">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vertAlign w:val="baseline"/>
                      <w:lang w:val="en-US" w:eastAsia="zh-CN"/>
                    </w:rPr>
                    <w:t>本项目</w:t>
                  </w:r>
                  <w:r>
                    <w:rPr>
                      <w:rFonts w:hint="eastAsia" w:eastAsia="宋体" w:cs="Times New Roman"/>
                      <w:color w:val="auto"/>
                      <w:sz w:val="21"/>
                      <w:szCs w:val="21"/>
                      <w:highlight w:val="none"/>
                      <w:vertAlign w:val="baseline"/>
                      <w:lang w:val="en-US" w:eastAsia="zh-CN"/>
                    </w:rPr>
                    <w:t>生产过程中废钢瓶经收集后由厂家统一回收处理，危险废物经暂存后，交由有资质单位处置，固体废物</w:t>
                  </w:r>
                  <w:r>
                    <w:rPr>
                      <w:rFonts w:hint="default" w:ascii="Times New Roman" w:hAnsi="Times New Roman" w:eastAsia="宋体" w:cs="Times New Roman"/>
                      <w:color w:val="auto"/>
                      <w:sz w:val="21"/>
                      <w:szCs w:val="21"/>
                      <w:highlight w:val="none"/>
                      <w:vertAlign w:val="baseline"/>
                      <w:lang w:val="en-US" w:eastAsia="zh-CN"/>
                    </w:rPr>
                    <w:t>得到合理处置。</w:t>
                  </w:r>
                </w:p>
              </w:tc>
              <w:tc>
                <w:tcPr>
                  <w:tcW w:w="667" w:type="pct"/>
                  <w:tcBorders>
                    <w:tl2br w:val="nil"/>
                    <w:tr2bl w:val="nil"/>
                  </w:tcBorders>
                  <w:vAlign w:val="center"/>
                </w:tcPr>
                <w:p w14:paraId="6B4B0A21">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E5B3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4" w:type="pct"/>
                  <w:tcBorders>
                    <w:tl2br w:val="nil"/>
                    <w:tr2bl w:val="nil"/>
                  </w:tcBorders>
                  <w:vAlign w:val="center"/>
                </w:tcPr>
                <w:p w14:paraId="51432DF4">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深入打好蓝天保卫战</w:t>
                  </w:r>
                </w:p>
              </w:tc>
              <w:tc>
                <w:tcPr>
                  <w:tcW w:w="2410" w:type="pct"/>
                  <w:tcBorders>
                    <w:tl2br w:val="nil"/>
                    <w:tr2bl w:val="nil"/>
                  </w:tcBorders>
                  <w:vAlign w:val="center"/>
                </w:tcPr>
                <w:p w14:paraId="4B7EC127">
                  <w:pPr>
                    <w:pStyle w:val="2"/>
                    <w:spacing w:after="0" w:line="240" w:lineRule="auto"/>
                    <w:ind w:left="0" w:leftChars="0"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加强大气面源和噪声污染治理。强化施工、道路、堆场、裸露地面等扬尘管控，推进低尘机械化清扫作业，加大城市出入口、城乡接合部等城乡重要路段清扫保洁力度。</w:t>
                  </w:r>
                </w:p>
              </w:tc>
              <w:tc>
                <w:tcPr>
                  <w:tcW w:w="1287" w:type="pct"/>
                  <w:tcBorders>
                    <w:tl2br w:val="nil"/>
                    <w:tr2bl w:val="nil"/>
                  </w:tcBorders>
                  <w:vAlign w:val="center"/>
                </w:tcPr>
                <w:p w14:paraId="318F198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eastAsia" w:eastAsia="宋体" w:cs="Times New Roman"/>
                      <w:color w:val="auto"/>
                      <w:sz w:val="21"/>
                      <w:szCs w:val="21"/>
                      <w:highlight w:val="none"/>
                      <w:lang w:val="en-US" w:eastAsia="zh-CN"/>
                    </w:rPr>
                    <w:t>产噪设备均布设在车间内</w:t>
                  </w:r>
                  <w:r>
                    <w:rPr>
                      <w:rFonts w:hint="default" w:ascii="Times New Roman" w:hAnsi="Times New Roman" w:eastAsia="宋体" w:cs="Times New Roman"/>
                      <w:color w:val="auto"/>
                      <w:sz w:val="21"/>
                      <w:szCs w:val="21"/>
                      <w:highlight w:val="none"/>
                    </w:rPr>
                    <w:t>，</w:t>
                  </w:r>
                  <w:r>
                    <w:rPr>
                      <w:rFonts w:hint="eastAsia" w:eastAsia="宋体" w:cs="Times New Roman"/>
                      <w:color w:val="auto"/>
                      <w:sz w:val="21"/>
                      <w:szCs w:val="21"/>
                      <w:highlight w:val="none"/>
                      <w:lang w:val="en-US" w:eastAsia="zh-CN"/>
                    </w:rPr>
                    <w:t>并</w:t>
                  </w:r>
                  <w:r>
                    <w:rPr>
                      <w:rFonts w:hint="default" w:ascii="Times New Roman" w:hAnsi="Times New Roman" w:eastAsia="宋体" w:cs="Times New Roman"/>
                      <w:color w:val="auto"/>
                      <w:sz w:val="21"/>
                      <w:szCs w:val="21"/>
                      <w:highlight w:val="none"/>
                    </w:rPr>
                    <w:t>对主要设备噪声采用基础减震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隔声等措施</w:t>
                  </w:r>
                  <w:r>
                    <w:rPr>
                      <w:rFonts w:hint="default" w:ascii="Times New Roman" w:hAnsi="Times New Roman" w:eastAsia="宋体" w:cs="Times New Roman"/>
                      <w:color w:val="auto"/>
                      <w:sz w:val="21"/>
                      <w:szCs w:val="21"/>
                      <w:highlight w:val="none"/>
                    </w:rPr>
                    <w:t>。</w:t>
                  </w:r>
                </w:p>
              </w:tc>
              <w:tc>
                <w:tcPr>
                  <w:tcW w:w="667" w:type="pct"/>
                  <w:tcBorders>
                    <w:tl2br w:val="nil"/>
                    <w:tr2bl w:val="nil"/>
                  </w:tcBorders>
                  <w:vAlign w:val="center"/>
                </w:tcPr>
                <w:p w14:paraId="6311153B">
                  <w:pPr>
                    <w:pStyle w:val="2"/>
                    <w:spacing w:after="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765367D2">
            <w:pPr>
              <w:pStyle w:val="8"/>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cs="Times New Roman"/>
                <w:b w:val="0"/>
                <w:color w:val="auto"/>
                <w:kern w:val="2"/>
                <w:sz w:val="24"/>
                <w:szCs w:val="24"/>
                <w:highlight w:val="none"/>
                <w:lang w:val="en-US" w:eastAsia="zh-CN" w:bidi="ar-SA"/>
              </w:rPr>
              <w:t>3</w:t>
            </w:r>
            <w:r>
              <w:rPr>
                <w:rFonts w:hint="default" w:ascii="Times New Roman" w:hAnsi="Times New Roman" w:eastAsia="宋体" w:cs="Times New Roman"/>
                <w:b w:val="0"/>
                <w:color w:val="auto"/>
                <w:kern w:val="2"/>
                <w:sz w:val="24"/>
                <w:szCs w:val="24"/>
                <w:highlight w:val="none"/>
                <w:lang w:val="en-US" w:eastAsia="zh-CN" w:bidi="ar-SA"/>
              </w:rPr>
              <w:t>.本项目与辽宁省“十四五”生态环境保护规划相符性分析</w:t>
            </w:r>
          </w:p>
          <w:p w14:paraId="6722D1F4">
            <w:pPr>
              <w:jc w:val="cente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表1-6本项目与《辽宁省“十四五”生态环境保护规划》相符性分析</w:t>
            </w:r>
          </w:p>
          <w:tbl>
            <w:tblPr>
              <w:tblStyle w:val="25"/>
              <w:tblW w:w="764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8"/>
              <w:gridCol w:w="4037"/>
              <w:gridCol w:w="2441"/>
              <w:gridCol w:w="713"/>
            </w:tblGrid>
            <w:tr w14:paraId="6CA58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8" w:type="dxa"/>
                  <w:tcBorders>
                    <w:tl2br w:val="nil"/>
                    <w:tr2bl w:val="nil"/>
                  </w:tcBorders>
                  <w:vAlign w:val="center"/>
                </w:tcPr>
                <w:p w14:paraId="4D6BF4F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4037" w:type="dxa"/>
                  <w:tcBorders>
                    <w:tl2br w:val="nil"/>
                    <w:tr2bl w:val="nil"/>
                  </w:tcBorders>
                  <w:vAlign w:val="center"/>
                </w:tcPr>
                <w:p w14:paraId="3B5122A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文件要求</w:t>
                  </w:r>
                </w:p>
              </w:tc>
              <w:tc>
                <w:tcPr>
                  <w:tcW w:w="2441" w:type="dxa"/>
                  <w:tcBorders>
                    <w:tl2br w:val="nil"/>
                    <w:tr2bl w:val="nil"/>
                  </w:tcBorders>
                  <w:vAlign w:val="center"/>
                </w:tcPr>
                <w:p w14:paraId="4864D2C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项目落实情况</w:t>
                  </w:r>
                </w:p>
              </w:tc>
              <w:tc>
                <w:tcPr>
                  <w:tcW w:w="713" w:type="dxa"/>
                  <w:tcBorders>
                    <w:tl2br w:val="nil"/>
                    <w:tr2bl w:val="nil"/>
                  </w:tcBorders>
                  <w:vAlign w:val="center"/>
                </w:tcPr>
                <w:p w14:paraId="4DAA750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相符性</w:t>
                  </w:r>
                </w:p>
              </w:tc>
            </w:tr>
            <w:tr w14:paraId="38910A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458" w:type="dxa"/>
                  <w:tcBorders>
                    <w:tl2br w:val="nil"/>
                    <w:tr2bl w:val="nil"/>
                  </w:tcBorders>
                  <w:vAlign w:val="center"/>
                </w:tcPr>
                <w:p w14:paraId="592FC35D">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p>
              </w:tc>
              <w:tc>
                <w:tcPr>
                  <w:tcW w:w="4037" w:type="dxa"/>
                  <w:tcBorders>
                    <w:tl2br w:val="nil"/>
                    <w:tr2bl w:val="nil"/>
                  </w:tcBorders>
                  <w:vAlign w:val="center"/>
                </w:tcPr>
                <w:p w14:paraId="48E52FC7">
                  <w:pPr>
                    <w:keepNext w:val="0"/>
                    <w:keepLines w:val="0"/>
                    <w:pageBreakBefore w:val="0"/>
                    <w:widowControl/>
                    <w:suppressLineNumbers w:val="0"/>
                    <w:kinsoku/>
                    <w:wordWrap w:val="0"/>
                    <w:overflowPunct/>
                    <w:topLinePunct w:val="0"/>
                    <w:autoSpaceDE/>
                    <w:autoSpaceDN/>
                    <w:bidi w:val="0"/>
                    <w:adjustRightInd/>
                    <w:snapToGrid/>
                    <w:ind w:firstLine="420" w:firstLineChars="200"/>
                    <w:jc w:val="both"/>
                    <w:textAlignment w:val="auto"/>
                    <w:rPr>
                      <w:rFonts w:hint="default"/>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bidi="ar-SA"/>
                    </w:rPr>
                    <w:t>强化扬尘综合治理和秸秆禁烧管控。全面加强各类施工工地、</w:t>
                  </w:r>
                  <w:r>
                    <w:rPr>
                      <w:rFonts w:hint="default" w:ascii="宋体" w:hAnsi="宋体" w:eastAsia="宋体" w:cs="宋体"/>
                      <w:color w:val="auto"/>
                      <w:kern w:val="2"/>
                      <w:sz w:val="21"/>
                      <w:szCs w:val="21"/>
                      <w:highlight w:val="none"/>
                      <w:lang w:val="en-US" w:eastAsia="zh-CN" w:bidi="ar-SA"/>
                    </w:rPr>
                    <w:t>道路、工业企业料场堆场、裸地、露天矿山和港口码头扬尘精细化管控</w:t>
                  </w:r>
                  <w:r>
                    <w:rPr>
                      <w:rFonts w:hint="eastAsia" w:ascii="宋体" w:hAnsi="宋体" w:eastAsia="宋体" w:cs="宋体"/>
                      <w:color w:val="auto"/>
                      <w:kern w:val="2"/>
                      <w:sz w:val="21"/>
                      <w:szCs w:val="21"/>
                      <w:highlight w:val="none"/>
                      <w:lang w:val="en-US" w:eastAsia="zh-CN" w:bidi="ar-SA"/>
                    </w:rPr>
                    <w:t>，</w:t>
                  </w:r>
                  <w:r>
                    <w:rPr>
                      <w:rFonts w:hint="default" w:ascii="宋体" w:hAnsi="宋体" w:eastAsia="宋体" w:cs="宋体"/>
                      <w:color w:val="auto"/>
                      <w:kern w:val="2"/>
                      <w:sz w:val="21"/>
                      <w:szCs w:val="21"/>
                      <w:highlight w:val="none"/>
                      <w:lang w:val="en-US" w:eastAsia="zh-CN" w:bidi="ar-SA"/>
                    </w:rPr>
                    <w:t>实施网格化降尘量监测考核</w:t>
                  </w:r>
                  <w:r>
                    <w:rPr>
                      <w:rFonts w:hint="eastAsia" w:ascii="宋体" w:hAnsi="宋体" w:eastAsia="宋体" w:cs="宋体"/>
                      <w:color w:val="auto"/>
                      <w:kern w:val="2"/>
                      <w:sz w:val="21"/>
                      <w:szCs w:val="21"/>
                      <w:highlight w:val="none"/>
                      <w:lang w:val="en-US" w:eastAsia="zh-CN" w:bidi="ar-SA"/>
                    </w:rPr>
                    <w:t>。</w:t>
                  </w:r>
                </w:p>
              </w:tc>
              <w:tc>
                <w:tcPr>
                  <w:tcW w:w="2441" w:type="dxa"/>
                  <w:tcBorders>
                    <w:tl2br w:val="nil"/>
                    <w:tr2bl w:val="nil"/>
                  </w:tcBorders>
                  <w:vAlign w:val="center"/>
                </w:tcPr>
                <w:p w14:paraId="2EC400D2">
                  <w:pPr>
                    <w:pStyle w:val="2"/>
                    <w:keepNext w:val="0"/>
                    <w:keepLines w:val="0"/>
                    <w:pageBreakBefore w:val="0"/>
                    <w:widowControl w:val="0"/>
                    <w:kinsoku/>
                    <w:wordWrap w:val="0"/>
                    <w:overflowPunct/>
                    <w:topLinePunct w:val="0"/>
                    <w:autoSpaceDE/>
                    <w:autoSpaceDN/>
                    <w:bidi w:val="0"/>
                    <w:adjustRightInd/>
                    <w:snapToGrid/>
                    <w:spacing w:after="0" w:line="240" w:lineRule="auto"/>
                    <w:ind w:left="0" w:leftChars="0" w:firstLine="0" w:firstLineChars="0"/>
                    <w:jc w:val="both"/>
                    <w:textAlignment w:val="auto"/>
                    <w:rPr>
                      <w:rFonts w:hint="default"/>
                      <w:color w:val="auto"/>
                      <w:sz w:val="21"/>
                      <w:szCs w:val="21"/>
                      <w:highlight w:val="none"/>
                      <w:vertAlign w:val="baseline"/>
                      <w:lang w:val="en-US" w:eastAsia="zh-CN"/>
                    </w:rPr>
                  </w:pPr>
                  <w:r>
                    <w:rPr>
                      <w:rFonts w:hint="eastAsia" w:ascii="宋体" w:hAnsi="宋体" w:cs="宋体"/>
                      <w:color w:val="auto"/>
                      <w:sz w:val="21"/>
                      <w:szCs w:val="21"/>
                      <w:highlight w:val="none"/>
                    </w:rPr>
                    <w:t>本项目运行过程中</w:t>
                  </w:r>
                  <w:r>
                    <w:rPr>
                      <w:rFonts w:hint="eastAsia" w:ascii="宋体" w:hAnsi="宋体" w:cs="宋体"/>
                      <w:color w:val="auto"/>
                      <w:sz w:val="21"/>
                      <w:szCs w:val="21"/>
                      <w:highlight w:val="none"/>
                      <w:lang w:val="en-US" w:eastAsia="zh-CN"/>
                    </w:rPr>
                    <w:t>各生产过程均在</w:t>
                  </w:r>
                  <w:r>
                    <w:rPr>
                      <w:rFonts w:hint="eastAsia" w:ascii="宋体" w:hAnsi="宋体" w:cs="宋体"/>
                      <w:color w:val="auto"/>
                      <w:sz w:val="21"/>
                      <w:szCs w:val="21"/>
                      <w:highlight w:val="none"/>
                    </w:rPr>
                    <w:t>车间</w:t>
                  </w:r>
                  <w:r>
                    <w:rPr>
                      <w:rFonts w:hint="eastAsia" w:ascii="宋体" w:hAnsi="宋体" w:cs="宋体"/>
                      <w:color w:val="auto"/>
                      <w:sz w:val="21"/>
                      <w:szCs w:val="21"/>
                      <w:highlight w:val="none"/>
                      <w:lang w:val="en-US" w:eastAsia="zh-CN"/>
                    </w:rPr>
                    <w:t>内进行</w:t>
                  </w:r>
                  <w:r>
                    <w:rPr>
                      <w:rFonts w:hint="eastAsia" w:ascii="宋体" w:hAnsi="宋体" w:cs="宋体"/>
                      <w:color w:val="auto"/>
                      <w:sz w:val="21"/>
                      <w:szCs w:val="21"/>
                      <w:highlight w:val="none"/>
                    </w:rPr>
                    <w:t>，并配套设置</w:t>
                  </w:r>
                  <w:r>
                    <w:rPr>
                      <w:rFonts w:hint="eastAsia" w:ascii="宋体" w:hAnsi="宋体" w:eastAsia="宋体" w:cs="宋体"/>
                      <w:color w:val="auto"/>
                      <w:sz w:val="21"/>
                      <w:szCs w:val="21"/>
                      <w:highlight w:val="none"/>
                      <w:lang w:val="en-US" w:eastAsia="zh-CN"/>
                    </w:rPr>
                    <w:t>环境治理措施</w:t>
                  </w:r>
                  <w:r>
                    <w:rPr>
                      <w:rFonts w:hint="eastAsia" w:ascii="宋体" w:hAnsi="宋体" w:cs="宋体"/>
                      <w:color w:val="auto"/>
                      <w:sz w:val="21"/>
                      <w:szCs w:val="21"/>
                      <w:highlight w:val="none"/>
                    </w:rPr>
                    <w:t>，有效减少环境空气污染。</w:t>
                  </w:r>
                  <w:r>
                    <w:rPr>
                      <w:rFonts w:hint="eastAsia" w:ascii="宋体" w:hAnsi="宋体" w:cs="宋体"/>
                      <w:color w:val="auto"/>
                      <w:sz w:val="21"/>
                      <w:szCs w:val="21"/>
                      <w:highlight w:val="none"/>
                      <w:lang w:eastAsia="zh-CN"/>
                    </w:rPr>
                    <w:t>道路汽车扬尘采用路面硬化等措施，有效控制大气污染物排放量。</w:t>
                  </w:r>
                </w:p>
              </w:tc>
              <w:tc>
                <w:tcPr>
                  <w:tcW w:w="713" w:type="dxa"/>
                  <w:tcBorders>
                    <w:tl2br w:val="nil"/>
                    <w:tr2bl w:val="nil"/>
                  </w:tcBorders>
                  <w:vAlign w:val="center"/>
                </w:tcPr>
                <w:p w14:paraId="043FA504">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r w14:paraId="2F1BB8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8" w:type="dxa"/>
                  <w:tcBorders>
                    <w:tl2br w:val="nil"/>
                    <w:tr2bl w:val="nil"/>
                  </w:tcBorders>
                  <w:vAlign w:val="center"/>
                </w:tcPr>
                <w:p w14:paraId="05519E9A">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4037" w:type="dxa"/>
                  <w:tcBorders>
                    <w:tl2br w:val="nil"/>
                    <w:tr2bl w:val="nil"/>
                  </w:tcBorders>
                  <w:vAlign w:val="center"/>
                </w:tcPr>
                <w:p w14:paraId="568270F4">
                  <w:pPr>
                    <w:keepNext w:val="0"/>
                    <w:keepLines w:val="0"/>
                    <w:pageBreakBefore w:val="0"/>
                    <w:widowControl/>
                    <w:suppressLineNumbers w:val="0"/>
                    <w:kinsoku/>
                    <w:wordWrap w:val="0"/>
                    <w:overflowPunct/>
                    <w:topLinePunct w:val="0"/>
                    <w:autoSpaceDE/>
                    <w:autoSpaceDN/>
                    <w:bidi w:val="0"/>
                    <w:adjustRightInd/>
                    <w:snapToGrid/>
                    <w:ind w:firstLine="420" w:firstLineChars="200"/>
                    <w:jc w:val="both"/>
                    <w:textAlignment w:val="auto"/>
                    <w:rPr>
                      <w:rFonts w:hint="default"/>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SA"/>
                    </w:rPr>
                    <w:t>提升危险废物环境监管能力。</w:t>
                  </w:r>
                  <w:r>
                    <w:rPr>
                      <w:rFonts w:hint="default" w:cs="Times New Roman"/>
                      <w:color w:val="auto"/>
                      <w:kern w:val="2"/>
                      <w:sz w:val="21"/>
                      <w:szCs w:val="21"/>
                      <w:highlight w:val="none"/>
                      <w:vertAlign w:val="baseline"/>
                      <w:lang w:val="en-US" w:eastAsia="zh-CN" w:bidi="ar-SA"/>
                    </w:rPr>
                    <w:t>建立健全 “源头严防、过程严管、后果严惩”的危险废物环境监管体系</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完善危险废物产生、收集、贮存、转运、处置信息化监管平台</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推行视频监控、智能称重、电子标签等集成智能物联网设备</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强化危险废物生态环境执法监管</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严厉打击危险废物环境违法犯罪行为</w:t>
                  </w:r>
                  <w:r>
                    <w:rPr>
                      <w:rFonts w:hint="eastAsia" w:cs="Times New Roman"/>
                      <w:color w:val="auto"/>
                      <w:kern w:val="2"/>
                      <w:sz w:val="21"/>
                      <w:szCs w:val="21"/>
                      <w:highlight w:val="none"/>
                      <w:vertAlign w:val="baseline"/>
                      <w:lang w:val="en-US" w:eastAsia="zh-CN" w:bidi="ar-SA"/>
                    </w:rPr>
                    <w:t>。</w:t>
                  </w:r>
                </w:p>
              </w:tc>
              <w:tc>
                <w:tcPr>
                  <w:tcW w:w="2441" w:type="dxa"/>
                  <w:tcBorders>
                    <w:tl2br w:val="nil"/>
                    <w:tr2bl w:val="nil"/>
                  </w:tcBorders>
                  <w:vAlign w:val="center"/>
                </w:tcPr>
                <w:p w14:paraId="63E784D0">
                  <w:pPr>
                    <w:pStyle w:val="2"/>
                    <w:keepNext w:val="0"/>
                    <w:keepLines w:val="0"/>
                    <w:pageBreakBefore w:val="0"/>
                    <w:widowControl w:val="0"/>
                    <w:kinsoku/>
                    <w:wordWrap w:val="0"/>
                    <w:overflowPunct/>
                    <w:topLinePunct w:val="0"/>
                    <w:autoSpaceDE/>
                    <w:autoSpaceDN/>
                    <w:bidi w:val="0"/>
                    <w:adjustRightInd/>
                    <w:snapToGrid/>
                    <w:spacing w:after="0" w:line="240" w:lineRule="auto"/>
                    <w:ind w:left="0" w:leftChars="0" w:firstLine="0" w:firstLineChars="0"/>
                    <w:jc w:val="left"/>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本项目运行过程中产生的危险废物经收集后，由危险废物贮存点暂存后，交由有资质单位进行统一处理。</w:t>
                  </w:r>
                </w:p>
              </w:tc>
              <w:tc>
                <w:tcPr>
                  <w:tcW w:w="713" w:type="dxa"/>
                  <w:tcBorders>
                    <w:tl2br w:val="nil"/>
                    <w:tr2bl w:val="nil"/>
                  </w:tcBorders>
                  <w:vAlign w:val="center"/>
                </w:tcPr>
                <w:p w14:paraId="62072C39">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r w14:paraId="28DFE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458" w:type="dxa"/>
                  <w:tcBorders>
                    <w:tl2br w:val="nil"/>
                    <w:tr2bl w:val="nil"/>
                  </w:tcBorders>
                  <w:vAlign w:val="center"/>
                </w:tcPr>
                <w:p w14:paraId="1FB1BB92">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4037" w:type="dxa"/>
                  <w:tcBorders>
                    <w:tl2br w:val="nil"/>
                    <w:tr2bl w:val="nil"/>
                  </w:tcBorders>
                  <w:vAlign w:val="center"/>
                </w:tcPr>
                <w:p w14:paraId="1668C75C">
                  <w:pPr>
                    <w:keepNext w:val="0"/>
                    <w:keepLines w:val="0"/>
                    <w:pageBreakBefore w:val="0"/>
                    <w:widowControl/>
                    <w:suppressLineNumbers w:val="0"/>
                    <w:kinsoku/>
                    <w:wordWrap w:val="0"/>
                    <w:overflowPunct/>
                    <w:topLinePunct w:val="0"/>
                    <w:autoSpaceDE/>
                    <w:autoSpaceDN/>
                    <w:bidi w:val="0"/>
                    <w:adjustRightInd/>
                    <w:snapToGrid/>
                    <w:ind w:firstLine="420" w:firstLineChars="200"/>
                    <w:jc w:val="both"/>
                    <w:textAlignment w:val="auto"/>
                    <w:rPr>
                      <w:rFonts w:hint="default"/>
                      <w:color w:val="auto"/>
                      <w:sz w:val="21"/>
                      <w:szCs w:val="21"/>
                      <w:highlight w:val="none"/>
                      <w:vertAlign w:val="baseline"/>
                      <w:lang w:val="en-US" w:eastAsia="zh-CN"/>
                    </w:rPr>
                  </w:pPr>
                  <w:r>
                    <w:rPr>
                      <w:rFonts w:hint="default" w:cs="Times New Roman"/>
                      <w:color w:val="auto"/>
                      <w:kern w:val="2"/>
                      <w:sz w:val="21"/>
                      <w:szCs w:val="21"/>
                      <w:highlight w:val="none"/>
                      <w:vertAlign w:val="baseline"/>
                      <w:lang w:val="en-US" w:eastAsia="zh-CN" w:bidi="ar-SA"/>
                    </w:rPr>
                    <w:t>提高一般工业固体废物综合利用水平</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加强资源综合利用技术装备推广应用</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推动工业资源综合利用产业规模化、集聚化发展</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推进尾矿、煤矸石、粉煤灰、冶炼废渣、工业副产石膏等固体废物综合利用</w:t>
                  </w:r>
                  <w:r>
                    <w:rPr>
                      <w:rFonts w:hint="eastAsia" w:cs="Times New Roman"/>
                      <w:color w:val="auto"/>
                      <w:kern w:val="2"/>
                      <w:sz w:val="21"/>
                      <w:szCs w:val="21"/>
                      <w:highlight w:val="none"/>
                      <w:vertAlign w:val="baseline"/>
                      <w:lang w:val="en-US" w:eastAsia="zh-CN" w:bidi="ar-SA"/>
                    </w:rPr>
                    <w:t>。</w:t>
                  </w:r>
                  <w:r>
                    <w:rPr>
                      <w:rFonts w:hint="default" w:cs="Times New Roman"/>
                      <w:color w:val="auto"/>
                      <w:kern w:val="2"/>
                      <w:sz w:val="21"/>
                      <w:szCs w:val="21"/>
                      <w:highlight w:val="none"/>
                      <w:vertAlign w:val="baseline"/>
                      <w:lang w:val="en-US" w:eastAsia="zh-CN" w:bidi="ar-SA"/>
                    </w:rPr>
                    <w:t>鼓励工业固体废物在提取有价组分、建材、筑路、生态修复、土壤治理等领域的规模化应用</w:t>
                  </w:r>
                  <w:r>
                    <w:rPr>
                      <w:rFonts w:hint="eastAsia" w:cs="Times New Roman"/>
                      <w:color w:val="auto"/>
                      <w:kern w:val="2"/>
                      <w:sz w:val="21"/>
                      <w:szCs w:val="21"/>
                      <w:highlight w:val="none"/>
                      <w:vertAlign w:val="baseline"/>
                      <w:lang w:val="en-US" w:eastAsia="zh-CN" w:bidi="ar-SA"/>
                    </w:rPr>
                    <w:t>。</w:t>
                  </w:r>
                </w:p>
              </w:tc>
              <w:tc>
                <w:tcPr>
                  <w:tcW w:w="2441" w:type="dxa"/>
                  <w:tcBorders>
                    <w:tl2br w:val="nil"/>
                    <w:tr2bl w:val="nil"/>
                  </w:tcBorders>
                  <w:vAlign w:val="center"/>
                </w:tcPr>
                <w:p w14:paraId="73DAD838">
                  <w:pPr>
                    <w:pStyle w:val="2"/>
                    <w:keepNext w:val="0"/>
                    <w:keepLines w:val="0"/>
                    <w:pageBreakBefore w:val="0"/>
                    <w:widowControl w:val="0"/>
                    <w:kinsoku/>
                    <w:wordWrap w:val="0"/>
                    <w:overflowPunct/>
                    <w:topLinePunct w:val="0"/>
                    <w:autoSpaceDE/>
                    <w:autoSpaceDN/>
                    <w:bidi w:val="0"/>
                    <w:adjustRightInd/>
                    <w:snapToGrid/>
                    <w:spacing w:after="0" w:line="240" w:lineRule="auto"/>
                    <w:ind w:left="0" w:leftChars="0" w:firstLine="0" w:firstLineChars="0"/>
                    <w:jc w:val="both"/>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本项目加工过程中产生的废钢瓶收集后由供应厂家回收。</w:t>
                  </w:r>
                </w:p>
              </w:tc>
              <w:tc>
                <w:tcPr>
                  <w:tcW w:w="713" w:type="dxa"/>
                  <w:tcBorders>
                    <w:tl2br w:val="nil"/>
                    <w:tr2bl w:val="nil"/>
                  </w:tcBorders>
                  <w:vAlign w:val="center"/>
                </w:tcPr>
                <w:p w14:paraId="1D5098C1">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bl>
          <w:p w14:paraId="5ACAF8FF">
            <w:pPr>
              <w:pStyle w:val="2"/>
              <w:keepNext w:val="0"/>
              <w:keepLines w:val="0"/>
              <w:pageBreakBefore w:val="0"/>
              <w:widowControl w:val="0"/>
              <w:kinsoku/>
              <w:wordWrap/>
              <w:overflowPunct/>
              <w:topLinePunct w:val="0"/>
              <w:bidi w:val="0"/>
              <w:adjustRightInd/>
              <w:snapToGrid/>
              <w:spacing w:after="0" w:line="360" w:lineRule="auto"/>
              <w:ind w:left="0"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.本项目与《空气质量持续改善行动计划》（国发</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2023</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24号）相符性分析</w:t>
            </w:r>
          </w:p>
          <w:p w14:paraId="2B465D90">
            <w:pPr>
              <w:pStyle w:val="2"/>
              <w:keepNext w:val="0"/>
              <w:keepLines w:val="0"/>
              <w:pageBreakBefore w:val="0"/>
              <w:widowControl w:val="0"/>
              <w:kinsoku/>
              <w:wordWrap/>
              <w:overflowPunct/>
              <w:topLinePunct w:val="0"/>
              <w:bidi w:val="0"/>
              <w:adjustRightInd/>
              <w:snapToGrid/>
              <w:spacing w:after="0" w:line="240" w:lineRule="auto"/>
              <w:ind w:left="0" w:leftChars="0" w:firstLine="0" w:firstLineChars="0"/>
              <w:jc w:val="center"/>
              <w:textAlignment w:val="auto"/>
              <w:rPr>
                <w:rFonts w:hint="eastAsia" w:eastAsia="宋体" w:cs="Times New Roman"/>
                <w:color w:val="auto"/>
                <w:kern w:val="2"/>
                <w:sz w:val="24"/>
                <w:szCs w:val="24"/>
                <w:highlight w:val="none"/>
                <w:lang w:val="en-US" w:eastAsia="zh-CN" w:bidi="ar-SA"/>
              </w:rPr>
            </w:pPr>
            <w:r>
              <w:rPr>
                <w:rFonts w:hint="eastAsia" w:ascii="黑体" w:hAnsi="黑体" w:eastAsia="黑体" w:cs="黑体"/>
                <w:color w:val="auto"/>
                <w:kern w:val="2"/>
                <w:sz w:val="21"/>
                <w:szCs w:val="21"/>
                <w:highlight w:val="none"/>
                <w:lang w:val="en-US" w:eastAsia="zh-CN" w:bidi="ar-SA"/>
              </w:rPr>
              <w:t>表1-7本项目与《空气质量持续改善行动计划》相符性分析</w:t>
            </w:r>
          </w:p>
          <w:tbl>
            <w:tblPr>
              <w:tblStyle w:val="25"/>
              <w:tblW w:w="764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009"/>
              <w:gridCol w:w="4350"/>
              <w:gridCol w:w="1279"/>
              <w:gridCol w:w="538"/>
            </w:tblGrid>
            <w:tr w14:paraId="572F6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73" w:type="dxa"/>
                  <w:tcBorders>
                    <w:tl2br w:val="nil"/>
                    <w:tr2bl w:val="nil"/>
                  </w:tcBorders>
                  <w:vAlign w:val="center"/>
                </w:tcPr>
                <w:p w14:paraId="64F6C8FD">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5359" w:type="dxa"/>
                  <w:gridSpan w:val="2"/>
                  <w:tcBorders>
                    <w:tl2br w:val="nil"/>
                    <w:tr2bl w:val="nil"/>
                  </w:tcBorders>
                  <w:vAlign w:val="center"/>
                </w:tcPr>
                <w:p w14:paraId="4768851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文件要求</w:t>
                  </w:r>
                </w:p>
              </w:tc>
              <w:tc>
                <w:tcPr>
                  <w:tcW w:w="1279" w:type="dxa"/>
                  <w:tcBorders>
                    <w:tl2br w:val="nil"/>
                    <w:tr2bl w:val="nil"/>
                  </w:tcBorders>
                  <w:vAlign w:val="center"/>
                </w:tcPr>
                <w:p w14:paraId="1BBCBCD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项目落实情况</w:t>
                  </w:r>
                </w:p>
              </w:tc>
              <w:tc>
                <w:tcPr>
                  <w:tcW w:w="538" w:type="dxa"/>
                  <w:tcBorders>
                    <w:tl2br w:val="nil"/>
                    <w:tr2bl w:val="nil"/>
                  </w:tcBorders>
                  <w:vAlign w:val="center"/>
                </w:tcPr>
                <w:p w14:paraId="1C1170C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相符性</w:t>
                  </w:r>
                </w:p>
              </w:tc>
            </w:tr>
            <w:tr w14:paraId="5344B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3" w:type="dxa"/>
                  <w:tcBorders>
                    <w:tl2br w:val="nil"/>
                    <w:tr2bl w:val="nil"/>
                  </w:tcBorders>
                  <w:vAlign w:val="center"/>
                </w:tcPr>
                <w:p w14:paraId="5E795133">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p>
              </w:tc>
              <w:tc>
                <w:tcPr>
                  <w:tcW w:w="1009" w:type="dxa"/>
                  <w:tcBorders>
                    <w:tl2br w:val="nil"/>
                    <w:tr2bl w:val="nil"/>
                  </w:tcBorders>
                  <w:vAlign w:val="center"/>
                </w:tcPr>
                <w:p w14:paraId="04B13C84">
                  <w:pPr>
                    <w:keepNext w:val="0"/>
                    <w:keepLines w:val="0"/>
                    <w:widowControl/>
                    <w:suppressLineNumbers w:val="0"/>
                    <w:jc w:val="center"/>
                    <w:rPr>
                      <w:rFonts w:hint="default" w:eastAsia="宋体" w:cs="Times New Roman"/>
                      <w:color w:val="auto"/>
                      <w:kern w:val="2"/>
                      <w:sz w:val="21"/>
                      <w:szCs w:val="21"/>
                      <w:highlight w:val="none"/>
                      <w:vertAlign w:val="baseline"/>
                      <w:lang w:val="en-US" w:eastAsia="zh-CN" w:bidi="ar-SA"/>
                    </w:rPr>
                  </w:pPr>
                  <w:r>
                    <w:rPr>
                      <w:rFonts w:hint="default" w:eastAsia="宋体" w:cs="Times New Roman"/>
                      <w:color w:val="auto"/>
                      <w:kern w:val="2"/>
                      <w:sz w:val="21"/>
                      <w:szCs w:val="21"/>
                      <w:highlight w:val="none"/>
                      <w:vertAlign w:val="baseline"/>
                      <w:lang w:val="en-US" w:eastAsia="zh-CN" w:bidi="ar-SA"/>
                    </w:rPr>
                    <w:t>优化产业结构，促进产业产品绿色升级</w:t>
                  </w:r>
                </w:p>
              </w:tc>
              <w:tc>
                <w:tcPr>
                  <w:tcW w:w="4350" w:type="dxa"/>
                  <w:tcBorders>
                    <w:tl2br w:val="nil"/>
                    <w:tr2bl w:val="nil"/>
                  </w:tcBorders>
                  <w:vAlign w:val="center"/>
                </w:tcPr>
                <w:p w14:paraId="54AFC999">
                  <w:pPr>
                    <w:keepNext w:val="0"/>
                    <w:keepLines w:val="0"/>
                    <w:pageBreakBefore w:val="0"/>
                    <w:widowControl/>
                    <w:suppressLineNumbers w:val="0"/>
                    <w:kinsoku/>
                    <w:wordWrap/>
                    <w:overflowPunct/>
                    <w:topLinePunct w:val="0"/>
                    <w:autoSpaceDE/>
                    <w:autoSpaceDN/>
                    <w:bidi w:val="0"/>
                    <w:adjustRightInd/>
                    <w:snapToGrid/>
                    <w:ind w:firstLine="420" w:firstLineChars="200"/>
                    <w:jc w:val="both"/>
                    <w:textAlignment w:val="auto"/>
                    <w:rPr>
                      <w:rFonts w:hint="default" w:eastAsia="宋体" w:cs="Times New Roman"/>
                      <w:color w:val="auto"/>
                      <w:kern w:val="2"/>
                      <w:sz w:val="21"/>
                      <w:szCs w:val="21"/>
                      <w:highlight w:val="none"/>
                      <w:vertAlign w:val="baseline"/>
                      <w:lang w:val="en-US" w:eastAsia="zh-CN" w:bidi="ar-SA"/>
                    </w:rPr>
                  </w:pPr>
                  <w:r>
                    <w:rPr>
                      <w:rFonts w:hint="default" w:eastAsia="宋体" w:cs="Times New Roman"/>
                      <w:color w:val="auto"/>
                      <w:kern w:val="2"/>
                      <w:sz w:val="21"/>
                      <w:szCs w:val="21"/>
                      <w:highlight w:val="none"/>
                      <w:vertAlign w:val="baseline"/>
                      <w:lang w:val="en-US" w:eastAsia="zh-CN" w:bidi="ar-SA"/>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279" w:type="dxa"/>
                  <w:tcBorders>
                    <w:tl2br w:val="nil"/>
                    <w:tr2bl w:val="nil"/>
                  </w:tcBorders>
                  <w:vAlign w:val="center"/>
                </w:tcPr>
                <w:p w14:paraId="35C61E8A">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left"/>
                    <w:textAlignment w:val="auto"/>
                    <w:rPr>
                      <w:rFonts w:hint="default"/>
                      <w:color w:val="auto"/>
                      <w:sz w:val="21"/>
                      <w:szCs w:val="21"/>
                      <w:highlight w:val="none"/>
                      <w:vertAlign w:val="baseline"/>
                      <w:lang w:val="en-US" w:eastAsia="zh-CN"/>
                    </w:rPr>
                  </w:pPr>
                  <w:r>
                    <w:rPr>
                      <w:rFonts w:hint="eastAsia" w:ascii="Times New Roman" w:hAnsi="Times New Roman" w:eastAsia="宋体" w:cs="Times New Roman"/>
                      <w:color w:val="auto"/>
                      <w:kern w:val="2"/>
                      <w:sz w:val="21"/>
                      <w:szCs w:val="21"/>
                      <w:highlight w:val="none"/>
                      <w:vertAlign w:val="baseline"/>
                      <w:lang w:val="en-US" w:eastAsia="zh-CN" w:bidi="ar-SA"/>
                    </w:rPr>
                    <w:t>根据《产业结构调整指导目录（2024年本）》，本项目为</w:t>
                  </w:r>
                  <w:r>
                    <w:rPr>
                      <w:rFonts w:hint="eastAsia" w:cs="Times New Roman"/>
                      <w:color w:val="auto"/>
                      <w:kern w:val="2"/>
                      <w:sz w:val="21"/>
                      <w:szCs w:val="21"/>
                      <w:highlight w:val="none"/>
                      <w:vertAlign w:val="baseline"/>
                      <w:lang w:val="en-US" w:eastAsia="zh-CN" w:bidi="ar-SA"/>
                    </w:rPr>
                    <w:t>允许</w:t>
                  </w:r>
                  <w:r>
                    <w:rPr>
                      <w:rFonts w:hint="eastAsia" w:ascii="Times New Roman" w:hAnsi="Times New Roman" w:eastAsia="宋体" w:cs="Times New Roman"/>
                      <w:color w:val="auto"/>
                      <w:kern w:val="2"/>
                      <w:sz w:val="21"/>
                      <w:szCs w:val="21"/>
                      <w:highlight w:val="none"/>
                      <w:vertAlign w:val="baseline"/>
                      <w:lang w:val="en-US" w:eastAsia="zh-CN" w:bidi="ar-SA"/>
                    </w:rPr>
                    <w:t>类，不属于高耗能、高排放项目。</w:t>
                  </w:r>
                </w:p>
              </w:tc>
              <w:tc>
                <w:tcPr>
                  <w:tcW w:w="538" w:type="dxa"/>
                  <w:tcBorders>
                    <w:tl2br w:val="nil"/>
                    <w:tr2bl w:val="nil"/>
                  </w:tcBorders>
                  <w:vAlign w:val="center"/>
                </w:tcPr>
                <w:p w14:paraId="45B525A3">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r w14:paraId="0FB94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3" w:type="dxa"/>
                  <w:tcBorders>
                    <w:tl2br w:val="nil"/>
                    <w:tr2bl w:val="nil"/>
                  </w:tcBorders>
                  <w:vAlign w:val="center"/>
                </w:tcPr>
                <w:p w14:paraId="7FD73F0A">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1009" w:type="dxa"/>
                  <w:tcBorders>
                    <w:tl2br w:val="nil"/>
                    <w:tr2bl w:val="nil"/>
                  </w:tcBorders>
                  <w:vAlign w:val="center"/>
                </w:tcPr>
                <w:p w14:paraId="484C7A87">
                  <w:pPr>
                    <w:keepNext w:val="0"/>
                    <w:keepLines w:val="0"/>
                    <w:widowControl/>
                    <w:suppressLineNumbers w:val="0"/>
                    <w:jc w:val="center"/>
                    <w:rPr>
                      <w:rFonts w:hint="default" w:eastAsia="宋体" w:cs="Times New Roman"/>
                      <w:color w:val="auto"/>
                      <w:kern w:val="2"/>
                      <w:sz w:val="21"/>
                      <w:szCs w:val="21"/>
                      <w:highlight w:val="none"/>
                      <w:vertAlign w:val="baseline"/>
                      <w:lang w:val="en-US" w:eastAsia="zh-CN" w:bidi="ar-SA"/>
                    </w:rPr>
                  </w:pPr>
                  <w:r>
                    <w:rPr>
                      <w:rFonts w:hint="default" w:eastAsia="宋体" w:cs="Times New Roman"/>
                      <w:color w:val="auto"/>
                      <w:kern w:val="2"/>
                      <w:sz w:val="21"/>
                      <w:szCs w:val="21"/>
                      <w:highlight w:val="none"/>
                      <w:vertAlign w:val="baseline"/>
                      <w:lang w:val="en-US" w:eastAsia="zh-CN" w:bidi="ar-SA"/>
                    </w:rPr>
                    <w:t>优化能源结构，加速能源清洁低碳高效发展</w:t>
                  </w:r>
                </w:p>
              </w:tc>
              <w:tc>
                <w:tcPr>
                  <w:tcW w:w="4350" w:type="dxa"/>
                  <w:tcBorders>
                    <w:tl2br w:val="nil"/>
                    <w:tr2bl w:val="nil"/>
                  </w:tcBorders>
                  <w:vAlign w:val="center"/>
                </w:tcPr>
                <w:p w14:paraId="1EC122EA">
                  <w:pPr>
                    <w:keepNext w:val="0"/>
                    <w:keepLines w:val="0"/>
                    <w:pageBreakBefore w:val="0"/>
                    <w:widowControl/>
                    <w:suppressLineNumbers w:val="0"/>
                    <w:kinsoku/>
                    <w:wordWrap/>
                    <w:overflowPunct/>
                    <w:topLinePunct w:val="0"/>
                    <w:autoSpaceDE/>
                    <w:autoSpaceDN/>
                    <w:bidi w:val="0"/>
                    <w:adjustRightInd/>
                    <w:snapToGrid/>
                    <w:ind w:firstLine="420" w:firstLineChars="200"/>
                    <w:jc w:val="both"/>
                    <w:textAlignment w:val="auto"/>
                    <w:rPr>
                      <w:rFonts w:hint="default" w:eastAsia="宋体" w:cs="Times New Roman"/>
                      <w:color w:val="auto"/>
                      <w:kern w:val="2"/>
                      <w:sz w:val="21"/>
                      <w:szCs w:val="21"/>
                      <w:highlight w:val="none"/>
                      <w:vertAlign w:val="baseline"/>
                      <w:lang w:val="en-US" w:eastAsia="zh-CN" w:bidi="ar-SA"/>
                    </w:rPr>
                  </w:pPr>
                  <w:r>
                    <w:rPr>
                      <w:rFonts w:hint="default" w:eastAsia="宋体" w:cs="Times New Roman"/>
                      <w:color w:val="auto"/>
                      <w:kern w:val="2"/>
                      <w:sz w:val="21"/>
                      <w:szCs w:val="21"/>
                      <w:highlight w:val="none"/>
                      <w:vertAlign w:val="baseline"/>
                      <w:lang w:val="en-US" w:eastAsia="zh-CN" w:bidi="ar-SA"/>
                    </w:rPr>
                    <w:t>积极开展燃煤锅炉关停整合。各地要将燃煤供热锅炉替代项目纳入城镇供热规划。县级及以上城市建成区原则上不再新建35蒸吨/小时及以下燃煤锅炉，重点区域原则上不再新建除集中供暖外的燃煤锅炉。加快热力管网建设，依托电厂、大型工业企业开展远距离供热示范，淘汰管网覆盖范围内的燃煤锅炉和散煤。到2025年，PM</w:t>
                  </w:r>
                  <w:r>
                    <w:rPr>
                      <w:rFonts w:hint="default" w:eastAsia="宋体" w:cs="Times New Roman"/>
                      <w:color w:val="auto"/>
                      <w:kern w:val="2"/>
                      <w:sz w:val="21"/>
                      <w:szCs w:val="21"/>
                      <w:highlight w:val="none"/>
                      <w:vertAlign w:val="subscript"/>
                      <w:lang w:val="en-US" w:eastAsia="zh-CN" w:bidi="ar-SA"/>
                    </w:rPr>
                    <w:t>2.5</w:t>
                  </w:r>
                  <w:r>
                    <w:rPr>
                      <w:rFonts w:hint="default" w:eastAsia="宋体" w:cs="Times New Roman"/>
                      <w:color w:val="auto"/>
                      <w:kern w:val="2"/>
                      <w:sz w:val="21"/>
                      <w:szCs w:val="21"/>
                      <w:highlight w:val="none"/>
                      <w:vertAlign w:val="baseline"/>
                      <w:lang w:val="en-US" w:eastAsia="zh-CN" w:bidi="ar-SA"/>
                    </w:rPr>
                    <w:t>未达标城市基本淘汰10蒸吨/小时及以下燃煤锅炉；重点区域基本淘汰35蒸吨/小时及以下燃煤锅炉及茶水炉、经营性炉灶、储粮烘干设备、农产品加工等燃煤设施，充分发挥30万千瓦及以上热电联产电厂的供热能力，对其供热半径30公里范围内的燃煤锅炉和落后燃煤小热电机组（含自备电厂）进行关停或整合。</w:t>
                  </w:r>
                </w:p>
              </w:tc>
              <w:tc>
                <w:tcPr>
                  <w:tcW w:w="1279" w:type="dxa"/>
                  <w:tcBorders>
                    <w:tl2br w:val="nil"/>
                    <w:tr2bl w:val="nil"/>
                  </w:tcBorders>
                  <w:vAlign w:val="center"/>
                </w:tcPr>
                <w:p w14:paraId="2D76260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本项目不设置锅炉。</w:t>
                  </w:r>
                </w:p>
              </w:tc>
              <w:tc>
                <w:tcPr>
                  <w:tcW w:w="538" w:type="dxa"/>
                  <w:tcBorders>
                    <w:tl2br w:val="nil"/>
                    <w:tr2bl w:val="nil"/>
                  </w:tcBorders>
                  <w:vAlign w:val="center"/>
                </w:tcPr>
                <w:p w14:paraId="46631D39">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bl>
          <w:p w14:paraId="4119FAB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.本项目与《“十四五”噪声污染防治行动计划》（环大气</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2023</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号）相符性分析</w:t>
            </w:r>
          </w:p>
          <w:p w14:paraId="08EA784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eastAsia="宋体" w:cs="Times New Roman"/>
                <w:color w:val="auto"/>
                <w:kern w:val="2"/>
                <w:sz w:val="24"/>
                <w:szCs w:val="24"/>
                <w:highlight w:val="none"/>
                <w:lang w:val="en-US" w:eastAsia="zh-CN" w:bidi="ar-SA"/>
              </w:rPr>
            </w:pPr>
            <w:r>
              <w:rPr>
                <w:rFonts w:hint="eastAsia" w:ascii="黑体" w:hAnsi="黑体" w:eastAsia="黑体" w:cs="黑体"/>
                <w:color w:val="auto"/>
                <w:kern w:val="2"/>
                <w:sz w:val="21"/>
                <w:szCs w:val="21"/>
                <w:highlight w:val="none"/>
                <w:lang w:val="en-US" w:eastAsia="zh-CN" w:bidi="ar-SA"/>
              </w:rPr>
              <w:t>表1-8本项目与《“十四五”噪声污染防治行动计划》相符性分析</w:t>
            </w:r>
          </w:p>
          <w:tbl>
            <w:tblPr>
              <w:tblStyle w:val="25"/>
              <w:tblW w:w="7737"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1"/>
              <w:gridCol w:w="941"/>
              <w:gridCol w:w="3750"/>
              <w:gridCol w:w="1718"/>
              <w:gridCol w:w="937"/>
            </w:tblGrid>
            <w:tr w14:paraId="41BDA2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1" w:type="dxa"/>
                  <w:tcBorders>
                    <w:tl2br w:val="nil"/>
                    <w:tr2bl w:val="nil"/>
                  </w:tcBorders>
                  <w:vAlign w:val="center"/>
                </w:tcPr>
                <w:p w14:paraId="79D4082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4691" w:type="dxa"/>
                  <w:gridSpan w:val="2"/>
                  <w:tcBorders>
                    <w:tl2br w:val="nil"/>
                    <w:tr2bl w:val="nil"/>
                  </w:tcBorders>
                  <w:vAlign w:val="center"/>
                </w:tcPr>
                <w:p w14:paraId="486DFD9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文件要求</w:t>
                  </w:r>
                </w:p>
              </w:tc>
              <w:tc>
                <w:tcPr>
                  <w:tcW w:w="1718" w:type="dxa"/>
                  <w:tcBorders>
                    <w:tl2br w:val="nil"/>
                    <w:tr2bl w:val="nil"/>
                  </w:tcBorders>
                  <w:vAlign w:val="center"/>
                </w:tcPr>
                <w:p w14:paraId="4559BD9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项目落实情况</w:t>
                  </w:r>
                </w:p>
              </w:tc>
              <w:tc>
                <w:tcPr>
                  <w:tcW w:w="937" w:type="dxa"/>
                  <w:tcBorders>
                    <w:tl2br w:val="nil"/>
                    <w:tr2bl w:val="nil"/>
                  </w:tcBorders>
                  <w:vAlign w:val="center"/>
                </w:tcPr>
                <w:p w14:paraId="0AEC14E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相符性</w:t>
                  </w:r>
                </w:p>
              </w:tc>
            </w:tr>
            <w:tr w14:paraId="522CF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1" w:type="dxa"/>
                  <w:vMerge w:val="restart"/>
                  <w:tcBorders>
                    <w:tl2br w:val="nil"/>
                    <w:tr2bl w:val="nil"/>
                  </w:tcBorders>
                  <w:vAlign w:val="center"/>
                </w:tcPr>
                <w:p w14:paraId="7178B719">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p>
              </w:tc>
              <w:tc>
                <w:tcPr>
                  <w:tcW w:w="941" w:type="dxa"/>
                  <w:vMerge w:val="restart"/>
                  <w:tcBorders>
                    <w:tl2br w:val="nil"/>
                    <w:tr2bl w:val="nil"/>
                  </w:tcBorders>
                  <w:vAlign w:val="center"/>
                </w:tcPr>
                <w:p w14:paraId="32D8C164">
                  <w:pPr>
                    <w:keepNext w:val="0"/>
                    <w:keepLines w:val="0"/>
                    <w:widowControl/>
                    <w:suppressLineNumbers w:val="0"/>
                    <w:jc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统筹噪声源管控</w:t>
                  </w:r>
                </w:p>
                <w:p w14:paraId="551293A9">
                  <w:pPr>
                    <w:keepNext w:val="0"/>
                    <w:keepLines w:val="0"/>
                    <w:widowControl/>
                    <w:suppressLineNumbers w:val="0"/>
                    <w:jc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3750" w:type="dxa"/>
                  <w:tcBorders>
                    <w:tl2br w:val="nil"/>
                    <w:tr2bl w:val="nil"/>
                  </w:tcBorders>
                  <w:vAlign w:val="center"/>
                </w:tcPr>
                <w:p w14:paraId="1A7323C2">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严格落实噪声污染防治要求。制定修改相关规划、建设对环境有影响的项目时，应依法开展环评，对可能产生噪声与振动的影响进行分析、预测和评估，积极采取噪声污染防治对策措施。建设项目的噪声污染防治设施应当与主体工程同时设计、同时施工、同时投产使用。督促建设单位依法开展竣工环境保护验收，加大事中事后监管力度，确保各项措施落地见效。</w:t>
                  </w:r>
                </w:p>
              </w:tc>
              <w:tc>
                <w:tcPr>
                  <w:tcW w:w="1718" w:type="dxa"/>
                  <w:vMerge w:val="restart"/>
                  <w:tcBorders>
                    <w:tl2br w:val="nil"/>
                    <w:tr2bl w:val="nil"/>
                  </w:tcBorders>
                  <w:vAlign w:val="center"/>
                </w:tcPr>
                <w:p w14:paraId="400213F8">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eastAsia="宋体" w:cs="Times New Roman"/>
                      <w:color w:val="auto"/>
                      <w:kern w:val="2"/>
                      <w:sz w:val="21"/>
                      <w:szCs w:val="21"/>
                      <w:highlight w:val="none"/>
                      <w:vertAlign w:val="baseline"/>
                      <w:lang w:val="en-US" w:eastAsia="zh-CN" w:bidi="ar-SA"/>
                    </w:rPr>
                    <w:t>本项目选用低噪声设备，并配套基础减振措施，产噪设备均设置在厂房内，可有效降低运营过程中噪声排放，确保厂界噪声达标排放。</w:t>
                  </w:r>
                </w:p>
              </w:tc>
              <w:tc>
                <w:tcPr>
                  <w:tcW w:w="937" w:type="dxa"/>
                  <w:tcBorders>
                    <w:tl2br w:val="nil"/>
                    <w:tr2bl w:val="nil"/>
                  </w:tcBorders>
                  <w:vAlign w:val="center"/>
                </w:tcPr>
                <w:p w14:paraId="0A270F6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r w14:paraId="05178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1" w:type="dxa"/>
                  <w:vMerge w:val="continue"/>
                  <w:tcBorders>
                    <w:tl2br w:val="nil"/>
                    <w:tr2bl w:val="nil"/>
                  </w:tcBorders>
                  <w:vAlign w:val="center"/>
                </w:tcPr>
                <w:p w14:paraId="359AA1DB">
                  <w:pPr>
                    <w:pStyle w:val="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color w:val="auto"/>
                      <w:sz w:val="21"/>
                      <w:szCs w:val="21"/>
                      <w:highlight w:val="none"/>
                      <w:vertAlign w:val="baseline"/>
                      <w:lang w:val="en-US" w:eastAsia="zh-CN"/>
                    </w:rPr>
                  </w:pPr>
                </w:p>
              </w:tc>
              <w:tc>
                <w:tcPr>
                  <w:tcW w:w="941" w:type="dxa"/>
                  <w:vMerge w:val="continue"/>
                  <w:tcBorders>
                    <w:tl2br w:val="nil"/>
                    <w:tr2bl w:val="nil"/>
                  </w:tcBorders>
                  <w:vAlign w:val="center"/>
                </w:tcPr>
                <w:p w14:paraId="36646CE1">
                  <w:pPr>
                    <w:keepNext w:val="0"/>
                    <w:keepLines w:val="0"/>
                    <w:widowControl/>
                    <w:suppressLineNumbers w:val="0"/>
                    <w:jc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3750" w:type="dxa"/>
                  <w:tcBorders>
                    <w:tl2br w:val="nil"/>
                    <w:tr2bl w:val="nil"/>
                  </w:tcBorders>
                  <w:vAlign w:val="center"/>
                </w:tcPr>
                <w:p w14:paraId="1673D3F8">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推广先进技术。鼓励低噪声工艺和设备的研究开发和推广应用，适时更新产业结构调整指导目录和噪声与振动污染防治领域国家先进污染防治技术目录，推动相关行业绿色高质量发展。</w:t>
                  </w:r>
                </w:p>
              </w:tc>
              <w:tc>
                <w:tcPr>
                  <w:tcW w:w="1718" w:type="dxa"/>
                  <w:vMerge w:val="continue"/>
                  <w:tcBorders>
                    <w:tl2br w:val="nil"/>
                    <w:tr2bl w:val="nil"/>
                  </w:tcBorders>
                  <w:vAlign w:val="center"/>
                </w:tcPr>
                <w:p w14:paraId="5FA4CC21">
                  <w:pPr>
                    <w:pStyle w:val="2"/>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c>
                <w:tcPr>
                  <w:tcW w:w="937" w:type="dxa"/>
                  <w:tcBorders>
                    <w:tl2br w:val="nil"/>
                    <w:tr2bl w:val="nil"/>
                  </w:tcBorders>
                  <w:vAlign w:val="center"/>
                </w:tcPr>
                <w:p w14:paraId="295316E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r w14:paraId="2F5D8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91" w:type="dxa"/>
                  <w:tcBorders>
                    <w:tl2br w:val="nil"/>
                    <w:tr2bl w:val="nil"/>
                  </w:tcBorders>
                  <w:vAlign w:val="center"/>
                </w:tcPr>
                <w:p w14:paraId="15FA4369">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941" w:type="dxa"/>
                  <w:tcBorders>
                    <w:tl2br w:val="nil"/>
                    <w:tr2bl w:val="nil"/>
                  </w:tcBorders>
                  <w:vAlign w:val="center"/>
                </w:tcPr>
                <w:p w14:paraId="240BDDD7">
                  <w:pPr>
                    <w:keepNext w:val="0"/>
                    <w:keepLines w:val="0"/>
                    <w:widowControl/>
                    <w:suppressLineNumbers w:val="0"/>
                    <w:jc w:val="center"/>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严格工业噪声管理</w:t>
                  </w:r>
                </w:p>
                <w:p w14:paraId="351ACD87">
                  <w:pPr>
                    <w:keepNext w:val="0"/>
                    <w:keepLines w:val="0"/>
                    <w:widowControl/>
                    <w:suppressLineNumbers w:val="0"/>
                    <w:jc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3750" w:type="dxa"/>
                  <w:tcBorders>
                    <w:tl2br w:val="nil"/>
                    <w:tr2bl w:val="nil"/>
                  </w:tcBorders>
                  <w:vAlign w:val="center"/>
                </w:tcPr>
                <w:p w14:paraId="4F8F2317">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树立工业噪声污染治理标杆。排放噪声的工业企业应切实采取减振降噪措施，加强厂区内固定设备、运输工具、货物装卸等噪声源管理，同时避免突发噪声扰民。鼓励企业采用先进治理技术，打造行业噪声污染治理示范典型。中央企业要主动承担社会责任，切实发挥模范带头和引领示范作用，创建一批行业标杆。</w:t>
                  </w:r>
                </w:p>
              </w:tc>
              <w:tc>
                <w:tcPr>
                  <w:tcW w:w="1718" w:type="dxa"/>
                  <w:vMerge w:val="continue"/>
                  <w:tcBorders>
                    <w:tl2br w:val="nil"/>
                    <w:tr2bl w:val="nil"/>
                  </w:tcBorders>
                  <w:vAlign w:val="center"/>
                </w:tcPr>
                <w:p w14:paraId="1A83001C">
                  <w:pPr>
                    <w:pStyle w:val="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937" w:type="dxa"/>
                  <w:tcBorders>
                    <w:tl2br w:val="nil"/>
                    <w:tr2bl w:val="nil"/>
                  </w:tcBorders>
                  <w:vAlign w:val="center"/>
                </w:tcPr>
                <w:p w14:paraId="483DC57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符合</w:t>
                  </w:r>
                </w:p>
              </w:tc>
            </w:tr>
          </w:tbl>
          <w:p w14:paraId="2BAE0619">
            <w:pPr>
              <w:pStyle w:val="2"/>
              <w:keepNext w:val="0"/>
              <w:keepLines w:val="0"/>
              <w:pageBreakBefore w:val="0"/>
              <w:widowControl w:val="0"/>
              <w:kinsoku/>
              <w:wordWrap/>
              <w:overflowPunct/>
              <w:topLinePunct w:val="0"/>
              <w:bidi w:val="0"/>
              <w:adjustRightInd/>
              <w:snapToGrid/>
              <w:spacing w:after="0" w:line="360" w:lineRule="auto"/>
              <w:ind w:left="0"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6</w:t>
            </w:r>
            <w:r>
              <w:rPr>
                <w:rFonts w:hint="eastAsia" w:ascii="Times New Roman" w:hAnsi="Times New Roman" w:eastAsia="宋体" w:cs="Times New Roman"/>
                <w:color w:val="auto"/>
                <w:kern w:val="2"/>
                <w:sz w:val="24"/>
                <w:szCs w:val="24"/>
                <w:highlight w:val="none"/>
                <w:lang w:val="en-US" w:eastAsia="zh-CN" w:bidi="ar-SA"/>
              </w:rPr>
              <w:t>.产业政策符合性分析</w:t>
            </w:r>
          </w:p>
          <w:p w14:paraId="062318C0">
            <w:pPr>
              <w:pStyle w:val="2"/>
              <w:keepNext w:val="0"/>
              <w:keepLines w:val="0"/>
              <w:pageBreakBefore w:val="0"/>
              <w:widowControl w:val="0"/>
              <w:kinsoku/>
              <w:wordWrap/>
              <w:overflowPunct/>
              <w:topLinePunct w:val="0"/>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根据《产业结构调整指导目录（2024年本）》，本项目不属于“淘汰”和“限制”类，属于允许</w:t>
            </w:r>
            <w:r>
              <w:rPr>
                <w:rFonts w:hint="eastAsia" w:cs="Times New Roman"/>
                <w:color w:val="auto"/>
                <w:kern w:val="2"/>
                <w:sz w:val="24"/>
                <w:szCs w:val="24"/>
                <w:highlight w:val="none"/>
                <w:lang w:val="en-US" w:eastAsia="zh-CN" w:bidi="ar-SA"/>
              </w:rPr>
              <w:t>类，</w:t>
            </w:r>
            <w:r>
              <w:rPr>
                <w:rFonts w:hint="eastAsia" w:eastAsia="宋体" w:cs="Times New Roman"/>
                <w:color w:val="auto"/>
                <w:kern w:val="2"/>
                <w:sz w:val="24"/>
                <w:szCs w:val="24"/>
                <w:highlight w:val="none"/>
                <w:lang w:val="en-US" w:eastAsia="zh-CN" w:bidi="ar-SA"/>
              </w:rPr>
              <w:t>项目</w:t>
            </w:r>
            <w:r>
              <w:rPr>
                <w:rFonts w:hint="eastAsia" w:ascii="Times New Roman" w:hAnsi="Times New Roman" w:eastAsia="宋体" w:cs="Times New Roman"/>
                <w:color w:val="auto"/>
                <w:kern w:val="2"/>
                <w:sz w:val="24"/>
                <w:szCs w:val="24"/>
                <w:highlight w:val="none"/>
                <w:lang w:val="en-US" w:eastAsia="zh-CN" w:bidi="ar-SA"/>
              </w:rPr>
              <w:t>符合国家及地方的产业政策要求。</w:t>
            </w:r>
          </w:p>
          <w:p w14:paraId="71D7CE45">
            <w:pPr>
              <w:pStyle w:val="2"/>
              <w:spacing w:after="0" w:line="360" w:lineRule="auto"/>
              <w:ind w:left="0" w:leftChars="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7</w:t>
            </w:r>
            <w:r>
              <w:rPr>
                <w:rFonts w:hint="eastAsia" w:ascii="Times New Roman" w:hAnsi="Times New Roman" w:eastAsia="宋体" w:cs="Times New Roman"/>
                <w:color w:val="auto"/>
                <w:kern w:val="2"/>
                <w:sz w:val="24"/>
                <w:szCs w:val="24"/>
                <w:highlight w:val="none"/>
                <w:lang w:val="en-US" w:eastAsia="zh-CN" w:bidi="ar-SA"/>
              </w:rPr>
              <w:t>.项目选址合理性分析</w:t>
            </w:r>
          </w:p>
          <w:p w14:paraId="0F5D12F0">
            <w:pPr>
              <w:pStyle w:val="2"/>
              <w:spacing w:after="0" w:line="360" w:lineRule="auto"/>
              <w:ind w:left="0" w:leftChars="0" w:firstLine="480" w:firstLineChars="200"/>
              <w:rPr>
                <w:rFonts w:hint="default"/>
                <w:color w:val="auto"/>
                <w:sz w:val="24"/>
                <w:highlight w:val="none"/>
                <w:lang w:val="en-US" w:eastAsia="zh-CN"/>
              </w:rPr>
            </w:pPr>
            <w:r>
              <w:rPr>
                <w:rFonts w:hint="eastAsia" w:cs="Times New Roman"/>
                <w:color w:val="auto"/>
                <w:sz w:val="24"/>
                <w:szCs w:val="24"/>
                <w:highlight w:val="none"/>
                <w:lang w:val="en-US" w:eastAsia="zh-CN"/>
              </w:rPr>
              <w:t>中氧朗渤（辽宁）制氧有限公司食品级二氧化碳、食品级氮气及食品级一氧化二氮产业化建设项目位于本溪市高新技术产业开发区石桥子平台一街6号，企业租赁辽宁泰都医用液态氧制造有限公司厂区闲置区域（房权证经技区字第2012003938号）用于本项目建设，根据产权证（见附件2、租赁协议见附件5），该地块规划用途为工业用房，符合本项目用地需要。同时结合“三线一</w:t>
            </w:r>
            <w:r>
              <w:rPr>
                <w:rFonts w:hint="eastAsia" w:ascii="Times New Roman" w:hAnsi="Times New Roman" w:cs="Times New Roman"/>
                <w:color w:val="auto"/>
                <w:sz w:val="24"/>
                <w:szCs w:val="24"/>
                <w:highlight w:val="none"/>
                <w:lang w:val="en-US" w:eastAsia="zh-CN"/>
              </w:rPr>
              <w:t>单”查询结果，该项目所在区域位于本溪高新区技术产业开发区管控单元范围，不涉及生态保护红线区域，项目评价范围内无自然保护区、风景名胜区、水源保护区、重要自然和文化遗产保护地及海洋特别保护区等需要特</w:t>
            </w:r>
            <w:r>
              <w:rPr>
                <w:rFonts w:hint="eastAsia" w:ascii="Times New Roman" w:hAnsi="Times New Roman" w:eastAsia="宋体" w:cs="Times New Roman"/>
                <w:color w:val="auto"/>
                <w:kern w:val="2"/>
                <w:sz w:val="24"/>
                <w:szCs w:val="24"/>
                <w:highlight w:val="none"/>
                <w:lang w:val="en-US" w:eastAsia="zh-CN" w:bidi="ar-SA"/>
              </w:rPr>
              <w:t>殊保护的环境保护对象，区域内的交通能够满足人流、车流的要求，供电及通讯等基础设施齐全，可为本项目配套。</w:t>
            </w:r>
          </w:p>
          <w:p w14:paraId="646BF981">
            <w:pPr>
              <w:pStyle w:val="2"/>
              <w:rPr>
                <w:rFonts w:hint="default"/>
                <w:color w:val="auto"/>
                <w:highlight w:val="none"/>
                <w:lang w:val="en-US" w:eastAsia="zh-CN"/>
              </w:rPr>
            </w:pPr>
          </w:p>
        </w:tc>
      </w:tr>
    </w:tbl>
    <w:p w14:paraId="4EB294A0">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ED70630">
      <w:pPr>
        <w:pStyle w:val="22"/>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二、建设项目工程分析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8025"/>
      </w:tblGrid>
      <w:tr w14:paraId="6E1F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1" w:hRule="atLeast"/>
        </w:trPr>
        <w:tc>
          <w:tcPr>
            <w:tcW w:w="497" w:type="dxa"/>
            <w:vAlign w:val="center"/>
          </w:tcPr>
          <w:p w14:paraId="442A632A">
            <w:pPr>
              <w:pStyle w:val="29"/>
              <w:ind w:left="0" w:leftChars="0" w:firstLine="0" w:firstLineChars="0"/>
              <w:jc w:val="center"/>
              <w:rPr>
                <w:rFonts w:hint="eastAsia" w:eastAsiaTheme="minorEastAsia"/>
                <w:color w:val="auto"/>
                <w:vertAlign w:val="baseline"/>
                <w:lang w:val="en-US" w:eastAsia="zh-CN"/>
              </w:rPr>
            </w:pPr>
            <w:r>
              <w:rPr>
                <w:rFonts w:hint="eastAsia"/>
                <w:color w:val="auto"/>
                <w:vertAlign w:val="baseline"/>
                <w:lang w:val="en-US" w:eastAsia="zh-CN"/>
              </w:rPr>
              <w:t>建设内容</w:t>
            </w:r>
          </w:p>
        </w:tc>
        <w:tc>
          <w:tcPr>
            <w:tcW w:w="8025" w:type="dxa"/>
          </w:tcPr>
          <w:p w14:paraId="00120AA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2" w:firstLineChars="200"/>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1.项目建设内容</w:t>
            </w:r>
          </w:p>
          <w:p w14:paraId="6A8208B1">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cs="Times New Roman" w:eastAsiaTheme="minorEastAsia"/>
                <w:color w:val="auto"/>
                <w:kern w:val="18"/>
                <w:sz w:val="24"/>
                <w:szCs w:val="20"/>
                <w:lang w:val="en-US" w:eastAsia="zh-CN" w:bidi="ar-SA"/>
              </w:rPr>
            </w:pPr>
            <w:r>
              <w:rPr>
                <w:rFonts w:hint="default" w:ascii="Times New Roman" w:hAnsi="Times New Roman" w:cs="Times New Roman" w:eastAsiaTheme="minorEastAsia"/>
                <w:color w:val="auto"/>
                <w:kern w:val="18"/>
                <w:sz w:val="24"/>
                <w:szCs w:val="20"/>
                <w:lang w:val="en-US" w:eastAsia="zh-CN" w:bidi="ar-SA"/>
              </w:rPr>
              <w:t>中氧朗渤（辽宁）制氧有限公司拟租赁辽宁泰都医用液态氧制造有限公司厂区闲置厂房及工业场地建设食品级二氧化碳、食品级氮气及食品级一氧化二氮产业化建设项目，本项目为食品级二氧化碳、食品级氮气及食品级一氧化二氮的</w:t>
            </w:r>
            <w:r>
              <w:rPr>
                <w:rFonts w:hint="default" w:ascii="Times New Roman" w:hAnsi="Times New Roman" w:cs="Times New Roman" w:eastAsiaTheme="minorEastAsia"/>
                <w:color w:val="0000FF"/>
                <w:kern w:val="18"/>
                <w:sz w:val="24"/>
                <w:szCs w:val="20"/>
                <w:lang w:val="en-US" w:eastAsia="zh-CN" w:bidi="ar-SA"/>
              </w:rPr>
              <w:t>储存及分装</w:t>
            </w:r>
            <w:r>
              <w:rPr>
                <w:rFonts w:hint="default" w:ascii="Times New Roman" w:hAnsi="Times New Roman" w:cs="Times New Roman" w:eastAsiaTheme="minorEastAsia"/>
                <w:color w:val="auto"/>
                <w:kern w:val="18"/>
                <w:sz w:val="24"/>
                <w:szCs w:val="20"/>
                <w:lang w:val="en-US" w:eastAsia="zh-CN" w:bidi="ar-SA"/>
              </w:rPr>
              <w:t>，设计</w:t>
            </w:r>
            <w:bookmarkStart w:id="7" w:name="_GoBack"/>
            <w:bookmarkEnd w:id="7"/>
            <w:r>
              <w:rPr>
                <w:rFonts w:hint="default" w:ascii="Times New Roman" w:hAnsi="Times New Roman" w:cs="Times New Roman" w:eastAsiaTheme="minorEastAsia"/>
                <w:color w:val="auto"/>
                <w:kern w:val="18"/>
                <w:sz w:val="24"/>
                <w:szCs w:val="20"/>
                <w:lang w:val="en-US" w:eastAsia="zh-CN" w:bidi="ar-SA"/>
              </w:rPr>
              <w:t>生产规模为食品级一氧化二氮1</w:t>
            </w:r>
            <w:r>
              <w:rPr>
                <w:rFonts w:hint="eastAsia" w:ascii="Times New Roman" w:hAnsi="Times New Roman" w:cs="Times New Roman" w:eastAsiaTheme="minorEastAsia"/>
                <w:color w:val="auto"/>
                <w:kern w:val="18"/>
                <w:sz w:val="24"/>
                <w:szCs w:val="20"/>
                <w:lang w:val="en-US" w:eastAsia="zh-CN" w:bidi="ar-SA"/>
              </w:rPr>
              <w:t>5</w:t>
            </w:r>
            <w:r>
              <w:rPr>
                <w:rFonts w:hint="default" w:ascii="Times New Roman" w:hAnsi="Times New Roman" w:cs="Times New Roman" w:eastAsiaTheme="minorEastAsia"/>
                <w:color w:val="auto"/>
                <w:kern w:val="18"/>
                <w:sz w:val="24"/>
                <w:szCs w:val="20"/>
                <w:lang w:val="en-US" w:eastAsia="zh-CN" w:bidi="ar-SA"/>
              </w:rPr>
              <w:t>000瓶/日、食品级氮气100瓶/日、食品级二氧化碳100瓶/日。项目主要</w:t>
            </w:r>
            <w:r>
              <w:rPr>
                <w:rFonts w:hint="default" w:ascii="Times New Roman" w:hAnsi="Times New Roman" w:cs="Times New Roman" w:eastAsiaTheme="minorEastAsia"/>
                <w:b w:val="0"/>
                <w:bCs w:val="0"/>
                <w:color w:val="0000FF"/>
                <w:kern w:val="18"/>
                <w:sz w:val="24"/>
                <w:szCs w:val="20"/>
                <w:lang w:val="en-US" w:eastAsia="zh-CN" w:bidi="ar-SA"/>
              </w:rPr>
              <w:t>通过外购液态源，采用充装工艺实现气体的储存、分装与供应，不涉及气体生产。</w:t>
            </w:r>
          </w:p>
          <w:p w14:paraId="7E45D5B0">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eastAsia" w:ascii="Times New Roman" w:hAnsi="Times New Roman" w:cs="Times New Roman" w:eastAsiaTheme="minorEastAsia"/>
                <w:color w:val="auto"/>
                <w:kern w:val="18"/>
                <w:sz w:val="24"/>
                <w:szCs w:val="20"/>
                <w:lang w:val="en-US" w:eastAsia="zh-CN" w:bidi="ar-SA"/>
              </w:rPr>
            </w:pPr>
            <w:r>
              <w:rPr>
                <w:rFonts w:hint="eastAsia" w:ascii="Times New Roman" w:hAnsi="Times New Roman" w:cs="Times New Roman" w:eastAsiaTheme="minorEastAsia"/>
                <w:color w:val="auto"/>
                <w:kern w:val="18"/>
                <w:sz w:val="24"/>
                <w:szCs w:val="20"/>
                <w:lang w:val="en-US" w:eastAsia="zh-CN" w:bidi="ar-SA"/>
              </w:rPr>
              <w:t>本项目主要设置一氧化二氮充装车间一座，氮气、二氧化碳充装车间一座，配套设置30m</w:t>
            </w:r>
            <w:r>
              <w:rPr>
                <w:rFonts w:hint="eastAsia" w:ascii="Times New Roman" w:hAnsi="Times New Roman" w:cs="Times New Roman" w:eastAsiaTheme="minorEastAsia"/>
                <w:color w:val="auto"/>
                <w:kern w:val="18"/>
                <w:sz w:val="24"/>
                <w:szCs w:val="20"/>
                <w:vertAlign w:val="superscript"/>
                <w:lang w:val="en-US" w:eastAsia="zh-CN" w:bidi="ar-SA"/>
              </w:rPr>
              <w:t>3</w:t>
            </w:r>
            <w:r>
              <w:rPr>
                <w:rFonts w:hint="eastAsia" w:ascii="Times New Roman" w:hAnsi="Times New Roman" w:cs="Times New Roman" w:eastAsiaTheme="minorEastAsia"/>
                <w:color w:val="auto"/>
                <w:kern w:val="18"/>
                <w:sz w:val="24"/>
                <w:szCs w:val="20"/>
                <w:vertAlign w:val="baseline"/>
                <w:lang w:val="en-US" w:eastAsia="zh-CN" w:bidi="ar-SA"/>
              </w:rPr>
              <w:t>低温</w:t>
            </w:r>
            <w:r>
              <w:rPr>
                <w:rFonts w:hint="eastAsia" w:ascii="Times New Roman" w:hAnsi="Times New Roman" w:cs="Times New Roman" w:eastAsiaTheme="minorEastAsia"/>
                <w:color w:val="auto"/>
                <w:kern w:val="18"/>
                <w:sz w:val="24"/>
                <w:szCs w:val="20"/>
                <w:lang w:val="en-US" w:eastAsia="zh-CN" w:bidi="ar-SA"/>
              </w:rPr>
              <w:t>一氧化二氮储罐、30m</w:t>
            </w:r>
            <w:r>
              <w:rPr>
                <w:rFonts w:hint="eastAsia" w:ascii="Times New Roman" w:hAnsi="Times New Roman" w:cs="Times New Roman" w:eastAsiaTheme="minorEastAsia"/>
                <w:color w:val="auto"/>
                <w:kern w:val="18"/>
                <w:sz w:val="24"/>
                <w:szCs w:val="20"/>
                <w:vertAlign w:val="superscript"/>
                <w:lang w:val="en-US" w:eastAsia="zh-CN" w:bidi="ar-SA"/>
              </w:rPr>
              <w:t>3</w:t>
            </w:r>
            <w:r>
              <w:rPr>
                <w:rFonts w:hint="eastAsia" w:ascii="Times New Roman" w:hAnsi="Times New Roman" w:cs="Times New Roman" w:eastAsiaTheme="minorEastAsia"/>
                <w:color w:val="auto"/>
                <w:kern w:val="18"/>
                <w:sz w:val="24"/>
                <w:szCs w:val="20"/>
                <w:vertAlign w:val="baseline"/>
                <w:lang w:val="en-US" w:eastAsia="zh-CN" w:bidi="ar-SA"/>
              </w:rPr>
              <w:t>低温</w:t>
            </w:r>
            <w:r>
              <w:rPr>
                <w:rFonts w:hint="eastAsia" w:ascii="Times New Roman" w:hAnsi="Times New Roman" w:cs="Times New Roman" w:eastAsiaTheme="minorEastAsia"/>
                <w:color w:val="auto"/>
                <w:kern w:val="18"/>
                <w:sz w:val="24"/>
                <w:szCs w:val="20"/>
                <w:lang w:val="en-US" w:eastAsia="zh-CN" w:bidi="ar-SA"/>
              </w:rPr>
              <w:t>氮气储罐、30m</w:t>
            </w:r>
            <w:r>
              <w:rPr>
                <w:rFonts w:hint="eastAsia" w:ascii="Times New Roman" w:hAnsi="Times New Roman" w:cs="Times New Roman" w:eastAsiaTheme="minorEastAsia"/>
                <w:color w:val="auto"/>
                <w:kern w:val="18"/>
                <w:sz w:val="24"/>
                <w:szCs w:val="20"/>
                <w:vertAlign w:val="superscript"/>
                <w:lang w:val="en-US" w:eastAsia="zh-CN" w:bidi="ar-SA"/>
              </w:rPr>
              <w:t>3</w:t>
            </w:r>
            <w:r>
              <w:rPr>
                <w:rFonts w:hint="eastAsia" w:ascii="Times New Roman" w:hAnsi="Times New Roman" w:cs="Times New Roman" w:eastAsiaTheme="minorEastAsia"/>
                <w:color w:val="auto"/>
                <w:kern w:val="18"/>
                <w:sz w:val="24"/>
                <w:szCs w:val="20"/>
                <w:vertAlign w:val="baseline"/>
                <w:lang w:val="en-US" w:eastAsia="zh-CN" w:bidi="ar-SA"/>
              </w:rPr>
              <w:t>低温</w:t>
            </w:r>
            <w:r>
              <w:rPr>
                <w:rFonts w:hint="eastAsia" w:ascii="Times New Roman" w:hAnsi="Times New Roman" w:cs="Times New Roman" w:eastAsiaTheme="minorEastAsia"/>
                <w:color w:val="auto"/>
                <w:kern w:val="18"/>
                <w:sz w:val="24"/>
                <w:szCs w:val="20"/>
                <w:lang w:val="en-US" w:eastAsia="zh-CN" w:bidi="ar-SA"/>
              </w:rPr>
              <w:t>二氧化碳储罐各一座。</w:t>
            </w:r>
          </w:p>
          <w:p w14:paraId="7FF10821">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eastAsia" w:ascii="Times New Roman" w:hAnsi="Times New Roman" w:eastAsia="宋体" w:cs="Times New Roman"/>
                <w:color w:val="auto"/>
                <w:kern w:val="18"/>
                <w:sz w:val="24"/>
                <w:szCs w:val="20"/>
                <w:lang w:val="en-US" w:eastAsia="zh-CN" w:bidi="ar-SA"/>
              </w:rPr>
            </w:pPr>
            <w:r>
              <w:rPr>
                <w:rFonts w:hint="eastAsia" w:ascii="Times New Roman" w:hAnsi="Times New Roman" w:cs="Times New Roman" w:eastAsiaTheme="minorEastAsia"/>
                <w:color w:val="auto"/>
                <w:kern w:val="18"/>
                <w:sz w:val="24"/>
                <w:szCs w:val="20"/>
                <w:lang w:val="en-US" w:eastAsia="zh-CN" w:bidi="ar-SA"/>
              </w:rPr>
              <w:t>企业已编制《中氧朗渤（辽宁）制氧有限公司食品级二氧化碳、氮气、一氧化二氮产业化建设项目设立安全评价报告》，根据“安全评价报告”本项目主要建（构）筑物与厂外相邻建（构）筑物间的防火间距均满足《建筑设计防火规范》（GB50016-2014）要求，厂内相邻建筑物之间的防火间距以及储罐的防火间距均满足《建筑设计防火规范》（GB50016-2014）、《深度冷冻法生产氧气及相关气体安全技术规程》（GB16912-2008）、《精细化工企业工程设计防火标准》（GB51283-2020）相关要求。</w:t>
            </w:r>
          </w:p>
          <w:p w14:paraId="596E6C21">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cs="Times New Roman" w:eastAsiaTheme="minorEastAsia"/>
                <w:color w:val="auto"/>
                <w:kern w:val="18"/>
                <w:sz w:val="24"/>
                <w:szCs w:val="20"/>
                <w:lang w:val="en-US" w:eastAsia="zh-CN" w:bidi="ar-SA"/>
              </w:rPr>
            </w:pPr>
            <w:r>
              <w:rPr>
                <w:rFonts w:hint="default" w:ascii="Times New Roman" w:hAnsi="Times New Roman" w:cs="Times New Roman" w:eastAsiaTheme="minorEastAsia"/>
                <w:color w:val="auto"/>
                <w:kern w:val="18"/>
                <w:sz w:val="24"/>
                <w:szCs w:val="20"/>
                <w:lang w:val="en-US" w:eastAsia="zh-CN" w:bidi="ar-SA"/>
              </w:rPr>
              <w:t>项目主要建设内容如下表所示。</w:t>
            </w:r>
          </w:p>
          <w:p w14:paraId="5AF0970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表</w:t>
            </w:r>
            <w:r>
              <w:rPr>
                <w:rFonts w:hint="eastAsia" w:ascii="黑体" w:hAnsi="黑体" w:eastAsia="黑体" w:cs="黑体"/>
                <w:b w:val="0"/>
                <w:bCs/>
                <w:color w:val="auto"/>
                <w:sz w:val="21"/>
                <w:szCs w:val="21"/>
                <w:highlight w:val="none"/>
                <w:lang w:val="en-US" w:eastAsia="zh-CN"/>
              </w:rPr>
              <w:t>2-1</w:t>
            </w:r>
            <w:r>
              <w:rPr>
                <w:rFonts w:hint="eastAsia" w:ascii="黑体" w:hAnsi="黑体" w:eastAsia="黑体" w:cs="黑体"/>
                <w:b w:val="0"/>
                <w:bCs/>
                <w:color w:val="auto"/>
                <w:sz w:val="21"/>
                <w:szCs w:val="21"/>
                <w:highlight w:val="none"/>
              </w:rPr>
              <w:t>项目主要建设内容一览表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108" w:type="dxa"/>
                <w:bottom w:w="0" w:type="dxa"/>
                <w:right w:w="108" w:type="dxa"/>
              </w:tblCellMar>
            </w:tblPr>
            <w:tblGrid>
              <w:gridCol w:w="556"/>
              <w:gridCol w:w="1062"/>
              <w:gridCol w:w="5002"/>
              <w:gridCol w:w="1186"/>
            </w:tblGrid>
            <w:tr w14:paraId="3FA8412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tcBorders>
                    <w:tl2br w:val="nil"/>
                    <w:tr2bl w:val="nil"/>
                  </w:tcBorders>
                  <w:vAlign w:val="center"/>
                </w:tcPr>
                <w:p w14:paraId="3488FDB3">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工程类别</w:t>
                  </w:r>
                </w:p>
              </w:tc>
              <w:tc>
                <w:tcPr>
                  <w:tcW w:w="680" w:type="pct"/>
                  <w:tcBorders>
                    <w:tl2br w:val="nil"/>
                    <w:tr2bl w:val="nil"/>
                  </w:tcBorders>
                  <w:vAlign w:val="center"/>
                </w:tcPr>
                <w:p w14:paraId="0EECCF7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项目</w:t>
                  </w:r>
                </w:p>
              </w:tc>
              <w:tc>
                <w:tcPr>
                  <w:tcW w:w="3203" w:type="pct"/>
                  <w:tcBorders>
                    <w:tl2br w:val="nil"/>
                    <w:tr2bl w:val="nil"/>
                  </w:tcBorders>
                  <w:vAlign w:val="center"/>
                </w:tcPr>
                <w:p w14:paraId="427803FC">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工程内容</w:t>
                  </w:r>
                </w:p>
              </w:tc>
              <w:tc>
                <w:tcPr>
                  <w:tcW w:w="759" w:type="pct"/>
                  <w:tcBorders>
                    <w:tl2br w:val="nil"/>
                    <w:tr2bl w:val="nil"/>
                  </w:tcBorders>
                  <w:vAlign w:val="center"/>
                </w:tcPr>
                <w:p w14:paraId="1E699F9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备注</w:t>
                  </w:r>
                </w:p>
              </w:tc>
            </w:tr>
            <w:tr w14:paraId="1541940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restart"/>
                  <w:tcBorders>
                    <w:tl2br w:val="nil"/>
                    <w:tr2bl w:val="nil"/>
                  </w:tcBorders>
                  <w:vAlign w:val="center"/>
                </w:tcPr>
                <w:p w14:paraId="21DC44F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主体工程</w:t>
                  </w:r>
                </w:p>
              </w:tc>
              <w:tc>
                <w:tcPr>
                  <w:tcW w:w="680" w:type="pct"/>
                  <w:tcBorders>
                    <w:tl2br w:val="nil"/>
                    <w:tr2bl w:val="nil"/>
                  </w:tcBorders>
                  <w:vAlign w:val="center"/>
                </w:tcPr>
                <w:p w14:paraId="6232769B">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一氧化二氮充装车间</w:t>
                  </w:r>
                </w:p>
              </w:tc>
              <w:tc>
                <w:tcPr>
                  <w:tcW w:w="3203" w:type="pct"/>
                  <w:tcBorders>
                    <w:tl2br w:val="nil"/>
                    <w:tr2bl w:val="nil"/>
                  </w:tcBorders>
                  <w:vAlign w:val="center"/>
                </w:tcPr>
                <w:p w14:paraId="0434E031">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420" w:firstLineChars="20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位于本项目厂区西侧，占地面积190m</w:t>
                  </w:r>
                  <w:r>
                    <w:rPr>
                      <w:rFonts w:hint="default" w:ascii="Times New Roman" w:hAnsi="Times New Roman" w:eastAsia="宋体" w:cs="Times New Roman"/>
                      <w:b w:val="0"/>
                      <w:bCs/>
                      <w:color w:val="auto"/>
                      <w:sz w:val="21"/>
                      <w:szCs w:val="21"/>
                      <w:highlight w:val="none"/>
                      <w:vertAlign w:val="superscript"/>
                      <w:lang w:val="en-US" w:eastAsia="zh-CN"/>
                    </w:rPr>
                    <w:t>2</w:t>
                  </w:r>
                  <w:r>
                    <w:rPr>
                      <w:rFonts w:hint="default" w:ascii="Times New Roman" w:hAnsi="Times New Roman" w:eastAsia="宋体" w:cs="Times New Roman"/>
                      <w:b w:val="0"/>
                      <w:bCs/>
                      <w:color w:val="auto"/>
                      <w:sz w:val="21"/>
                      <w:szCs w:val="21"/>
                      <w:highlight w:val="none"/>
                      <w:vertAlign w:val="baseline"/>
                      <w:lang w:val="en-US" w:eastAsia="zh-CN"/>
                    </w:rPr>
                    <w:t>，为砖混结构，层高7m，火灾危险性一类，耐火等级二级。车间内划分充装区、</w:t>
                  </w:r>
                  <w:r>
                    <w:rPr>
                      <w:rFonts w:hint="eastAsia" w:ascii="Times New Roman" w:hAnsi="Times New Roman" w:eastAsia="宋体" w:cs="Times New Roman"/>
                      <w:b w:val="0"/>
                      <w:bCs/>
                      <w:color w:val="auto"/>
                      <w:sz w:val="21"/>
                      <w:szCs w:val="21"/>
                      <w:highlight w:val="none"/>
                      <w:vertAlign w:val="baseline"/>
                      <w:lang w:val="en-US" w:eastAsia="zh-CN"/>
                    </w:rPr>
                    <w:t>装卸区</w:t>
                  </w:r>
                  <w:r>
                    <w:rPr>
                      <w:rFonts w:hint="default" w:ascii="Times New Roman" w:hAnsi="Times New Roman" w:eastAsia="宋体" w:cs="Times New Roman"/>
                      <w:b w:val="0"/>
                      <w:bCs/>
                      <w:color w:val="auto"/>
                      <w:sz w:val="21"/>
                      <w:szCs w:val="21"/>
                      <w:highlight w:val="none"/>
                      <w:vertAlign w:val="baseline"/>
                      <w:lang w:val="en-US" w:eastAsia="zh-CN"/>
                    </w:rPr>
                    <w:t>、</w:t>
                  </w:r>
                  <w:r>
                    <w:rPr>
                      <w:rFonts w:hint="eastAsia" w:ascii="Times New Roman" w:hAnsi="Times New Roman" w:eastAsia="宋体" w:cs="Times New Roman"/>
                      <w:b w:val="0"/>
                      <w:bCs/>
                      <w:color w:val="auto"/>
                      <w:sz w:val="21"/>
                      <w:szCs w:val="21"/>
                      <w:highlight w:val="none"/>
                      <w:vertAlign w:val="baseline"/>
                      <w:lang w:val="en-US" w:eastAsia="zh-CN"/>
                    </w:rPr>
                    <w:t>空瓶暂存区、成品存放区、废钢瓶存放区</w:t>
                  </w:r>
                  <w:r>
                    <w:rPr>
                      <w:rFonts w:hint="default" w:ascii="Times New Roman" w:hAnsi="Times New Roman" w:eastAsia="宋体" w:cs="Times New Roman"/>
                      <w:b w:val="0"/>
                      <w:bCs/>
                      <w:color w:val="auto"/>
                      <w:sz w:val="21"/>
                      <w:szCs w:val="21"/>
                      <w:highlight w:val="none"/>
                      <w:vertAlign w:val="baseline"/>
                      <w:lang w:val="en-US" w:eastAsia="zh-CN"/>
                    </w:rPr>
                    <w:t>等，主要用于一氧化二氮的充装。</w:t>
                  </w:r>
                </w:p>
              </w:tc>
              <w:tc>
                <w:tcPr>
                  <w:tcW w:w="759" w:type="pct"/>
                  <w:vMerge w:val="restart"/>
                  <w:tcBorders>
                    <w:tl2br w:val="nil"/>
                    <w:tr2bl w:val="nil"/>
                  </w:tcBorders>
                  <w:vAlign w:val="center"/>
                </w:tcPr>
                <w:p w14:paraId="032FC52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依托泰都公司厂区现有厂房进行设备安装</w:t>
                  </w:r>
                </w:p>
              </w:tc>
            </w:tr>
            <w:tr w14:paraId="3C35858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00E7199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80" w:type="pct"/>
                  <w:tcBorders>
                    <w:tl2br w:val="nil"/>
                    <w:tr2bl w:val="nil"/>
                  </w:tcBorders>
                  <w:vAlign w:val="center"/>
                </w:tcPr>
                <w:p w14:paraId="72718750">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氮气、二氧化碳充装车间</w:t>
                  </w:r>
                </w:p>
              </w:tc>
              <w:tc>
                <w:tcPr>
                  <w:tcW w:w="3203" w:type="pct"/>
                  <w:tcBorders>
                    <w:tl2br w:val="nil"/>
                    <w:tr2bl w:val="nil"/>
                  </w:tcBorders>
                  <w:vAlign w:val="center"/>
                </w:tcPr>
                <w:p w14:paraId="6B3D5E6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420" w:firstLineChars="20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位于本项目厂区东侧，占地面积375m</w:t>
                  </w:r>
                  <w:r>
                    <w:rPr>
                      <w:rFonts w:hint="default" w:ascii="Times New Roman" w:hAnsi="Times New Roman" w:eastAsia="宋体" w:cs="Times New Roman"/>
                      <w:b w:val="0"/>
                      <w:bCs/>
                      <w:color w:val="auto"/>
                      <w:sz w:val="21"/>
                      <w:szCs w:val="21"/>
                      <w:highlight w:val="none"/>
                      <w:vertAlign w:val="superscript"/>
                      <w:lang w:val="en-US" w:eastAsia="zh-CN"/>
                    </w:rPr>
                    <w:t>2</w:t>
                  </w:r>
                  <w:r>
                    <w:rPr>
                      <w:rFonts w:hint="default" w:ascii="Times New Roman" w:hAnsi="Times New Roman" w:eastAsia="宋体" w:cs="Times New Roman"/>
                      <w:b w:val="0"/>
                      <w:bCs/>
                      <w:color w:val="auto"/>
                      <w:sz w:val="21"/>
                      <w:szCs w:val="21"/>
                      <w:highlight w:val="none"/>
                      <w:vertAlign w:val="baseline"/>
                      <w:lang w:val="en-US" w:eastAsia="zh-CN"/>
                    </w:rPr>
                    <w:t>，为砖混结构，层高7m，火灾危险性戊类，耐火等级二级。车间内划分充装区、</w:t>
                  </w:r>
                  <w:r>
                    <w:rPr>
                      <w:rFonts w:hint="eastAsia" w:ascii="Times New Roman" w:hAnsi="Times New Roman" w:eastAsia="宋体" w:cs="Times New Roman"/>
                      <w:b w:val="0"/>
                      <w:bCs/>
                      <w:color w:val="auto"/>
                      <w:sz w:val="21"/>
                      <w:szCs w:val="21"/>
                      <w:highlight w:val="none"/>
                      <w:vertAlign w:val="baseline"/>
                      <w:lang w:val="en-US" w:eastAsia="zh-CN"/>
                    </w:rPr>
                    <w:t>装卸区</w:t>
                  </w:r>
                  <w:r>
                    <w:rPr>
                      <w:rFonts w:hint="default" w:ascii="Times New Roman" w:hAnsi="Times New Roman" w:eastAsia="宋体" w:cs="Times New Roman"/>
                      <w:b w:val="0"/>
                      <w:bCs/>
                      <w:color w:val="auto"/>
                      <w:sz w:val="21"/>
                      <w:szCs w:val="21"/>
                      <w:highlight w:val="none"/>
                      <w:vertAlign w:val="baseline"/>
                      <w:lang w:val="en-US" w:eastAsia="zh-CN"/>
                    </w:rPr>
                    <w:t>、</w:t>
                  </w:r>
                  <w:r>
                    <w:rPr>
                      <w:rFonts w:hint="eastAsia" w:ascii="Times New Roman" w:hAnsi="Times New Roman" w:eastAsia="宋体" w:cs="Times New Roman"/>
                      <w:b w:val="0"/>
                      <w:bCs/>
                      <w:color w:val="auto"/>
                      <w:sz w:val="21"/>
                      <w:szCs w:val="21"/>
                      <w:highlight w:val="none"/>
                      <w:vertAlign w:val="baseline"/>
                      <w:lang w:val="en-US" w:eastAsia="zh-CN"/>
                    </w:rPr>
                    <w:t>空瓶暂存区、成品存放区</w:t>
                  </w:r>
                  <w:r>
                    <w:rPr>
                      <w:rFonts w:hint="default" w:ascii="Times New Roman" w:hAnsi="Times New Roman" w:eastAsia="宋体" w:cs="Times New Roman"/>
                      <w:b w:val="0"/>
                      <w:bCs/>
                      <w:color w:val="auto"/>
                      <w:sz w:val="21"/>
                      <w:szCs w:val="21"/>
                      <w:highlight w:val="none"/>
                      <w:vertAlign w:val="baseline"/>
                      <w:lang w:val="en-US" w:eastAsia="zh-CN"/>
                    </w:rPr>
                    <w:t>等，主要用于氮气及二氧化碳的充装。</w:t>
                  </w:r>
                </w:p>
              </w:tc>
              <w:tc>
                <w:tcPr>
                  <w:tcW w:w="759" w:type="pct"/>
                  <w:vMerge w:val="continue"/>
                  <w:tcBorders>
                    <w:tl2br w:val="nil"/>
                    <w:tr2bl w:val="nil"/>
                  </w:tcBorders>
                  <w:vAlign w:val="center"/>
                </w:tcPr>
                <w:p w14:paraId="2773A29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1F9FD1A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restart"/>
                  <w:tcBorders>
                    <w:tl2br w:val="nil"/>
                    <w:tr2bl w:val="nil"/>
                  </w:tcBorders>
                  <w:vAlign w:val="center"/>
                </w:tcPr>
                <w:p w14:paraId="52212DD3">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储运工程</w:t>
                  </w:r>
                </w:p>
              </w:tc>
              <w:tc>
                <w:tcPr>
                  <w:tcW w:w="680" w:type="pct"/>
                  <w:tcBorders>
                    <w:tl2br w:val="nil"/>
                    <w:tr2bl w:val="nil"/>
                  </w:tcBorders>
                  <w:vAlign w:val="center"/>
                </w:tcPr>
                <w:p w14:paraId="253686D1">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一氧化二氮储罐</w:t>
                  </w:r>
                </w:p>
              </w:tc>
              <w:tc>
                <w:tcPr>
                  <w:tcW w:w="3203" w:type="pct"/>
                  <w:tcBorders>
                    <w:tl2br w:val="nil"/>
                    <w:tr2bl w:val="nil"/>
                  </w:tcBorders>
                  <w:vAlign w:val="center"/>
                </w:tcPr>
                <w:p w14:paraId="150DDE8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420" w:firstLineChars="20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一氧化二氮充装车间西南侧</w:t>
                  </w:r>
                  <w:r>
                    <w:rPr>
                      <w:rFonts w:hint="eastAsia" w:ascii="Times New Roman" w:hAnsi="Times New Roman" w:eastAsia="宋体" w:cs="Times New Roman"/>
                      <w:b w:val="0"/>
                      <w:bCs/>
                      <w:color w:val="auto"/>
                      <w:sz w:val="21"/>
                      <w:szCs w:val="21"/>
                      <w:highlight w:val="none"/>
                      <w:vertAlign w:val="baseline"/>
                      <w:lang w:val="en-US" w:eastAsia="zh-CN"/>
                    </w:rPr>
                    <w:t>15.4m处</w:t>
                  </w:r>
                  <w:r>
                    <w:rPr>
                      <w:rFonts w:hint="default" w:ascii="Times New Roman" w:hAnsi="Times New Roman" w:eastAsia="宋体" w:cs="Times New Roman"/>
                      <w:b w:val="0"/>
                      <w:bCs/>
                      <w:color w:val="auto"/>
                      <w:sz w:val="21"/>
                      <w:szCs w:val="21"/>
                      <w:highlight w:val="none"/>
                      <w:vertAlign w:val="baseline"/>
                      <w:lang w:val="en-US" w:eastAsia="zh-CN"/>
                    </w:rPr>
                    <w:t>设置30m</w:t>
                  </w:r>
                  <w:r>
                    <w:rPr>
                      <w:rFonts w:hint="default" w:ascii="Times New Roman" w:hAnsi="Times New Roman" w:eastAsia="宋体" w:cs="Times New Roman"/>
                      <w:b w:val="0"/>
                      <w:bCs/>
                      <w:color w:val="auto"/>
                      <w:sz w:val="21"/>
                      <w:szCs w:val="21"/>
                      <w:highlight w:val="none"/>
                      <w:vertAlign w:val="superscript"/>
                      <w:lang w:val="en-US" w:eastAsia="zh-CN"/>
                    </w:rPr>
                    <w:t>3</w:t>
                  </w:r>
                  <w:r>
                    <w:rPr>
                      <w:rFonts w:hint="default" w:ascii="Times New Roman" w:hAnsi="Times New Roman" w:eastAsia="宋体" w:cs="Times New Roman"/>
                      <w:b w:val="0"/>
                      <w:bCs/>
                      <w:color w:val="auto"/>
                      <w:sz w:val="21"/>
                      <w:szCs w:val="21"/>
                      <w:highlight w:val="none"/>
                      <w:vertAlign w:val="baseline"/>
                      <w:lang w:val="en-US" w:eastAsia="zh-CN"/>
                    </w:rPr>
                    <w:t>液态一氧化二氮储罐一座，用于储存进场液态一氧化二氮。</w:t>
                  </w:r>
                </w:p>
              </w:tc>
              <w:tc>
                <w:tcPr>
                  <w:tcW w:w="759" w:type="pct"/>
                  <w:vMerge w:val="restart"/>
                  <w:tcBorders>
                    <w:tl2br w:val="nil"/>
                    <w:tr2bl w:val="nil"/>
                  </w:tcBorders>
                  <w:vAlign w:val="center"/>
                </w:tcPr>
                <w:p w14:paraId="78CE370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依托泰都公司厂区现有</w:t>
                  </w:r>
                  <w:r>
                    <w:rPr>
                      <w:rFonts w:hint="eastAsia" w:ascii="Times New Roman" w:hAnsi="Times New Roman" w:eastAsia="宋体" w:cs="Times New Roman"/>
                      <w:b w:val="0"/>
                      <w:bCs/>
                      <w:color w:val="auto"/>
                      <w:sz w:val="21"/>
                      <w:szCs w:val="21"/>
                      <w:highlight w:val="none"/>
                      <w:vertAlign w:val="baseline"/>
                      <w:lang w:val="en-US" w:eastAsia="zh-CN"/>
                    </w:rPr>
                    <w:t>场地进行罐体安装</w:t>
                  </w:r>
                </w:p>
              </w:tc>
            </w:tr>
            <w:tr w14:paraId="0DD0A0F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3CC822CB">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80" w:type="pct"/>
                  <w:tcBorders>
                    <w:tl2br w:val="nil"/>
                    <w:tr2bl w:val="nil"/>
                  </w:tcBorders>
                  <w:vAlign w:val="center"/>
                </w:tcPr>
                <w:p w14:paraId="40D00DD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氮气储罐</w:t>
                  </w:r>
                </w:p>
              </w:tc>
              <w:tc>
                <w:tcPr>
                  <w:tcW w:w="3203" w:type="pct"/>
                  <w:vMerge w:val="restart"/>
                  <w:tcBorders>
                    <w:tl2br w:val="nil"/>
                    <w:tr2bl w:val="nil"/>
                  </w:tcBorders>
                  <w:vAlign w:val="center"/>
                </w:tcPr>
                <w:p w14:paraId="79FF2CD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420" w:firstLineChars="20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氮气、二氧化碳充装车间东南侧分别设置30m</w:t>
                  </w:r>
                  <w:r>
                    <w:rPr>
                      <w:rFonts w:hint="default" w:ascii="Times New Roman" w:hAnsi="Times New Roman" w:eastAsia="宋体" w:cs="Times New Roman"/>
                      <w:b w:val="0"/>
                      <w:bCs/>
                      <w:color w:val="auto"/>
                      <w:sz w:val="21"/>
                      <w:szCs w:val="21"/>
                      <w:highlight w:val="none"/>
                      <w:vertAlign w:val="superscript"/>
                      <w:lang w:val="en-US" w:eastAsia="zh-CN"/>
                    </w:rPr>
                    <w:t>3</w:t>
                  </w:r>
                  <w:r>
                    <w:rPr>
                      <w:rFonts w:hint="default" w:ascii="Times New Roman" w:hAnsi="Times New Roman" w:eastAsia="宋体" w:cs="Times New Roman"/>
                      <w:b w:val="0"/>
                      <w:bCs/>
                      <w:color w:val="auto"/>
                      <w:sz w:val="21"/>
                      <w:szCs w:val="21"/>
                      <w:highlight w:val="none"/>
                      <w:vertAlign w:val="baseline"/>
                      <w:lang w:val="en-US" w:eastAsia="zh-CN"/>
                    </w:rPr>
                    <w:t>液态氮气储罐一座、30m</w:t>
                  </w:r>
                  <w:r>
                    <w:rPr>
                      <w:rFonts w:hint="default" w:ascii="Times New Roman" w:hAnsi="Times New Roman" w:eastAsia="宋体" w:cs="Times New Roman"/>
                      <w:b w:val="0"/>
                      <w:bCs/>
                      <w:color w:val="auto"/>
                      <w:sz w:val="21"/>
                      <w:szCs w:val="21"/>
                      <w:highlight w:val="none"/>
                      <w:vertAlign w:val="superscript"/>
                      <w:lang w:val="en-US" w:eastAsia="zh-CN"/>
                    </w:rPr>
                    <w:t>3</w:t>
                  </w:r>
                  <w:r>
                    <w:rPr>
                      <w:rFonts w:hint="default" w:ascii="Times New Roman" w:hAnsi="Times New Roman" w:eastAsia="宋体" w:cs="Times New Roman"/>
                      <w:b w:val="0"/>
                      <w:bCs/>
                      <w:color w:val="auto"/>
                      <w:sz w:val="21"/>
                      <w:szCs w:val="21"/>
                      <w:highlight w:val="none"/>
                      <w:vertAlign w:val="baseline"/>
                      <w:lang w:val="en-US" w:eastAsia="zh-CN"/>
                    </w:rPr>
                    <w:t>液态二氧化碳储罐一座，</w:t>
                  </w:r>
                  <w:r>
                    <w:rPr>
                      <w:rFonts w:hint="eastAsia" w:ascii="Times New Roman" w:hAnsi="Times New Roman" w:eastAsia="宋体" w:cs="Times New Roman"/>
                      <w:b w:val="0"/>
                      <w:bCs/>
                      <w:color w:val="auto"/>
                      <w:sz w:val="21"/>
                      <w:szCs w:val="21"/>
                      <w:highlight w:val="none"/>
                      <w:vertAlign w:val="baseline"/>
                      <w:lang w:val="en-US" w:eastAsia="zh-CN"/>
                    </w:rPr>
                    <w:t>两座罐体间距4.2m，</w:t>
                  </w:r>
                  <w:r>
                    <w:rPr>
                      <w:rFonts w:hint="default" w:ascii="Times New Roman" w:hAnsi="Times New Roman" w:eastAsia="宋体" w:cs="Times New Roman"/>
                      <w:b w:val="0"/>
                      <w:bCs/>
                      <w:color w:val="auto"/>
                      <w:sz w:val="21"/>
                      <w:szCs w:val="21"/>
                      <w:highlight w:val="none"/>
                      <w:vertAlign w:val="baseline"/>
                      <w:lang w:val="en-US" w:eastAsia="zh-CN"/>
                    </w:rPr>
                    <w:t>用于贮存进场液态氮气及二氧化碳。</w:t>
                  </w:r>
                </w:p>
              </w:tc>
              <w:tc>
                <w:tcPr>
                  <w:tcW w:w="759" w:type="pct"/>
                  <w:vMerge w:val="continue"/>
                  <w:tcBorders>
                    <w:tl2br w:val="nil"/>
                    <w:tr2bl w:val="nil"/>
                  </w:tcBorders>
                  <w:vAlign w:val="center"/>
                </w:tcPr>
                <w:p w14:paraId="410B284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5BE2203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1D2B33A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80" w:type="pct"/>
                  <w:tcBorders>
                    <w:tl2br w:val="nil"/>
                    <w:tr2bl w:val="nil"/>
                  </w:tcBorders>
                  <w:vAlign w:val="center"/>
                </w:tcPr>
                <w:p w14:paraId="04CB5E5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二氧化碳储罐</w:t>
                  </w:r>
                </w:p>
              </w:tc>
              <w:tc>
                <w:tcPr>
                  <w:tcW w:w="3203" w:type="pct"/>
                  <w:vMerge w:val="continue"/>
                  <w:tcBorders>
                    <w:tl2br w:val="nil"/>
                    <w:tr2bl w:val="nil"/>
                  </w:tcBorders>
                  <w:vAlign w:val="center"/>
                </w:tcPr>
                <w:p w14:paraId="07CF378A">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759" w:type="pct"/>
                  <w:vMerge w:val="continue"/>
                  <w:tcBorders>
                    <w:tl2br w:val="nil"/>
                    <w:tr2bl w:val="nil"/>
                  </w:tcBorders>
                  <w:vAlign w:val="center"/>
                </w:tcPr>
                <w:p w14:paraId="3D4CED6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0ADBA04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90" w:hRule="atLeast"/>
              </w:trPr>
              <w:tc>
                <w:tcPr>
                  <w:tcW w:w="356" w:type="pct"/>
                  <w:tcBorders>
                    <w:tl2br w:val="nil"/>
                    <w:tr2bl w:val="nil"/>
                  </w:tcBorders>
                  <w:vAlign w:val="center"/>
                </w:tcPr>
                <w:p w14:paraId="2E1A871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辅助工程</w:t>
                  </w:r>
                </w:p>
              </w:tc>
              <w:tc>
                <w:tcPr>
                  <w:tcW w:w="680" w:type="pct"/>
                  <w:tcBorders>
                    <w:tl2br w:val="nil"/>
                    <w:tr2bl w:val="nil"/>
                  </w:tcBorders>
                  <w:vAlign w:val="center"/>
                </w:tcPr>
                <w:p w14:paraId="2B0AC798">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办公区</w:t>
                  </w:r>
                </w:p>
              </w:tc>
              <w:tc>
                <w:tcPr>
                  <w:tcW w:w="3203" w:type="pct"/>
                  <w:tcBorders>
                    <w:tl2br w:val="nil"/>
                    <w:tr2bl w:val="nil"/>
                  </w:tcBorders>
                  <w:vAlign w:val="center"/>
                </w:tcPr>
                <w:p w14:paraId="4625849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一氧化二氮充装车间划分员工休息区，占地面积30m</w:t>
                  </w:r>
                  <w:r>
                    <w:rPr>
                      <w:rFonts w:hint="eastAsia" w:ascii="Times New Roman" w:hAnsi="Times New Roman" w:eastAsia="宋体" w:cs="Times New Roman"/>
                      <w:b w:val="0"/>
                      <w:bCs/>
                      <w:color w:val="auto"/>
                      <w:sz w:val="21"/>
                      <w:szCs w:val="21"/>
                      <w:highlight w:val="none"/>
                      <w:vertAlign w:val="superscript"/>
                      <w:lang w:val="en-US" w:eastAsia="zh-CN"/>
                    </w:rPr>
                    <w:t>2</w:t>
                  </w:r>
                  <w:r>
                    <w:rPr>
                      <w:rFonts w:hint="eastAsia" w:ascii="Times New Roman" w:hAnsi="Times New Roman" w:eastAsia="宋体" w:cs="Times New Roman"/>
                      <w:b w:val="0"/>
                      <w:bCs/>
                      <w:color w:val="auto"/>
                      <w:sz w:val="21"/>
                      <w:szCs w:val="21"/>
                      <w:highlight w:val="none"/>
                      <w:vertAlign w:val="baseline"/>
                      <w:lang w:val="en-US" w:eastAsia="zh-CN"/>
                    </w:rPr>
                    <w:t>，用于员工休息、办公</w:t>
                  </w:r>
                  <w:r>
                    <w:rPr>
                      <w:rFonts w:hint="default" w:ascii="Times New Roman" w:hAnsi="Times New Roman" w:eastAsia="宋体" w:cs="Times New Roman"/>
                      <w:b w:val="0"/>
                      <w:bCs/>
                      <w:color w:val="auto"/>
                      <w:sz w:val="21"/>
                      <w:szCs w:val="21"/>
                      <w:highlight w:val="none"/>
                      <w:vertAlign w:val="baseline"/>
                      <w:lang w:val="en-US" w:eastAsia="zh-CN"/>
                    </w:rPr>
                    <w:t>。</w:t>
                  </w:r>
                </w:p>
              </w:tc>
              <w:tc>
                <w:tcPr>
                  <w:tcW w:w="759" w:type="pct"/>
                  <w:tcBorders>
                    <w:tl2br w:val="nil"/>
                    <w:tr2bl w:val="nil"/>
                  </w:tcBorders>
                  <w:vAlign w:val="center"/>
                </w:tcPr>
                <w:p w14:paraId="47263FF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ED4A8D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restart"/>
                  <w:tcBorders>
                    <w:tl2br w:val="nil"/>
                    <w:tr2bl w:val="nil"/>
                  </w:tcBorders>
                  <w:vAlign w:val="center"/>
                </w:tcPr>
                <w:p w14:paraId="4C03C79F">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公用工程</w:t>
                  </w:r>
                </w:p>
              </w:tc>
              <w:tc>
                <w:tcPr>
                  <w:tcW w:w="680" w:type="pct"/>
                  <w:tcBorders>
                    <w:tl2br w:val="nil"/>
                    <w:tr2bl w:val="nil"/>
                  </w:tcBorders>
                  <w:vAlign w:val="center"/>
                </w:tcPr>
                <w:p w14:paraId="582BBF4E">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供水</w:t>
                  </w:r>
                </w:p>
              </w:tc>
              <w:tc>
                <w:tcPr>
                  <w:tcW w:w="3203" w:type="pct"/>
                  <w:tcBorders>
                    <w:tl2br w:val="nil"/>
                    <w:tr2bl w:val="nil"/>
                  </w:tcBorders>
                  <w:vAlign w:val="center"/>
                </w:tcPr>
                <w:p w14:paraId="403BE63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市政供水管网</w:t>
                  </w:r>
                </w:p>
              </w:tc>
              <w:tc>
                <w:tcPr>
                  <w:tcW w:w="759" w:type="pct"/>
                  <w:tcBorders>
                    <w:tl2br w:val="nil"/>
                    <w:tr2bl w:val="nil"/>
                  </w:tcBorders>
                  <w:vAlign w:val="center"/>
                </w:tcPr>
                <w:p w14:paraId="4A3105F5">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2F0C65F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15256421">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80" w:type="pct"/>
                  <w:tcBorders>
                    <w:tl2br w:val="nil"/>
                    <w:tr2bl w:val="nil"/>
                  </w:tcBorders>
                  <w:vAlign w:val="center"/>
                </w:tcPr>
                <w:p w14:paraId="4BB7B21C">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供电</w:t>
                  </w:r>
                </w:p>
              </w:tc>
              <w:tc>
                <w:tcPr>
                  <w:tcW w:w="3203" w:type="pct"/>
                  <w:tcBorders>
                    <w:tl2br w:val="nil"/>
                    <w:tr2bl w:val="nil"/>
                  </w:tcBorders>
                  <w:vAlign w:val="center"/>
                </w:tcPr>
                <w:p w14:paraId="0719B7A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市政电网供给</w:t>
                  </w:r>
                </w:p>
              </w:tc>
              <w:tc>
                <w:tcPr>
                  <w:tcW w:w="759" w:type="pct"/>
                  <w:tcBorders>
                    <w:tl2br w:val="nil"/>
                    <w:tr2bl w:val="nil"/>
                  </w:tcBorders>
                  <w:vAlign w:val="center"/>
                </w:tcPr>
                <w:p w14:paraId="0DC66C0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5382A49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7078562E">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80" w:type="pct"/>
                  <w:tcBorders>
                    <w:tl2br w:val="nil"/>
                    <w:tr2bl w:val="nil"/>
                  </w:tcBorders>
                  <w:vAlign w:val="center"/>
                </w:tcPr>
                <w:p w14:paraId="19603255">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供暖</w:t>
                  </w:r>
                </w:p>
              </w:tc>
              <w:tc>
                <w:tcPr>
                  <w:tcW w:w="3203" w:type="pct"/>
                  <w:tcBorders>
                    <w:tl2br w:val="nil"/>
                    <w:tr2bl w:val="nil"/>
                  </w:tcBorders>
                  <w:vAlign w:val="center"/>
                </w:tcPr>
                <w:p w14:paraId="47BFB9FC">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生产车间无需供暖</w:t>
                  </w:r>
                  <w:r>
                    <w:rPr>
                      <w:rFonts w:hint="eastAsia" w:ascii="Times New Roman" w:hAnsi="Times New Roman" w:eastAsia="宋体" w:cs="Times New Roman"/>
                      <w:b w:val="0"/>
                      <w:bCs/>
                      <w:color w:val="auto"/>
                      <w:sz w:val="21"/>
                      <w:szCs w:val="21"/>
                      <w:highlight w:val="none"/>
                      <w:vertAlign w:val="baseline"/>
                      <w:lang w:val="en-US" w:eastAsia="zh-CN"/>
                    </w:rPr>
                    <w:t>，办公区采用电取暖</w:t>
                  </w:r>
                </w:p>
              </w:tc>
              <w:tc>
                <w:tcPr>
                  <w:tcW w:w="759" w:type="pct"/>
                  <w:tcBorders>
                    <w:tl2br w:val="nil"/>
                    <w:tr2bl w:val="nil"/>
                  </w:tcBorders>
                  <w:vAlign w:val="center"/>
                </w:tcPr>
                <w:p w14:paraId="07B1C10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5C15480F">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restart"/>
                  <w:tcBorders>
                    <w:tl2br w:val="nil"/>
                    <w:tr2bl w:val="nil"/>
                  </w:tcBorders>
                  <w:vAlign w:val="center"/>
                </w:tcPr>
                <w:p w14:paraId="57FF976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环保工程</w:t>
                  </w:r>
                </w:p>
              </w:tc>
              <w:tc>
                <w:tcPr>
                  <w:tcW w:w="680" w:type="pct"/>
                  <w:tcBorders>
                    <w:tl2br w:val="nil"/>
                    <w:tr2bl w:val="nil"/>
                  </w:tcBorders>
                  <w:vAlign w:val="center"/>
                </w:tcPr>
                <w:p w14:paraId="0B3446F1">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废气</w:t>
                  </w:r>
                </w:p>
              </w:tc>
              <w:tc>
                <w:tcPr>
                  <w:tcW w:w="3203" w:type="pct"/>
                  <w:tcBorders>
                    <w:tl2br w:val="nil"/>
                    <w:tr2bl w:val="nil"/>
                  </w:tcBorders>
                  <w:shd w:val="clear" w:color="auto" w:fill="auto"/>
                  <w:vAlign w:val="center"/>
                </w:tcPr>
                <w:p w14:paraId="38450B0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bCs w:val="0"/>
                      <w:snapToGrid/>
                      <w:color w:val="auto"/>
                      <w:kern w:val="2"/>
                      <w:sz w:val="21"/>
                      <w:szCs w:val="21"/>
                      <w:highlight w:val="none"/>
                      <w:lang w:val="en-US" w:eastAsia="zh-CN" w:bidi="ar-SA"/>
                    </w:rPr>
                  </w:pPr>
                  <w:r>
                    <w:rPr>
                      <w:rFonts w:hint="eastAsia" w:ascii="Times New Roman" w:hAnsi="Times New Roman" w:eastAsia="宋体" w:cs="Times New Roman"/>
                      <w:bCs w:val="0"/>
                      <w:snapToGrid/>
                      <w:color w:val="auto"/>
                      <w:kern w:val="2"/>
                      <w:sz w:val="21"/>
                      <w:szCs w:val="21"/>
                      <w:lang w:val="en-US" w:eastAsia="zh-CN" w:bidi="ar-SA"/>
                    </w:rPr>
                    <w:t>1.</w:t>
                  </w:r>
                  <w:r>
                    <w:rPr>
                      <w:rFonts w:hint="eastAsia" w:ascii="Times New Roman" w:hAnsi="Times New Roman" w:eastAsia="宋体" w:cs="Times New Roman"/>
                      <w:bCs w:val="0"/>
                      <w:snapToGrid/>
                      <w:color w:val="auto"/>
                      <w:kern w:val="2"/>
                      <w:sz w:val="21"/>
                      <w:szCs w:val="21"/>
                      <w:highlight w:val="none"/>
                      <w:lang w:val="en-US" w:eastAsia="zh-CN" w:bidi="ar-SA"/>
                    </w:rPr>
                    <w:t>槽车与储罐之间设‌</w:t>
                  </w:r>
                  <w:r>
                    <w:rPr>
                      <w:rFonts w:hint="default" w:ascii="Times New Roman" w:hAnsi="Times New Roman" w:eastAsia="宋体" w:cs="Times New Roman"/>
                      <w:bCs w:val="0"/>
                      <w:snapToGrid/>
                      <w:color w:val="auto"/>
                      <w:kern w:val="2"/>
                      <w:sz w:val="21"/>
                      <w:szCs w:val="21"/>
                      <w:highlight w:val="none"/>
                      <w:lang w:val="en-US" w:eastAsia="zh-CN" w:bidi="ar-SA"/>
                    </w:rPr>
                    <w:t>气相平衡管</w:t>
                  </w:r>
                  <w:r>
                    <w:rPr>
                      <w:rFonts w:hint="eastAsia" w:ascii="Times New Roman" w:hAnsi="Times New Roman" w:eastAsia="宋体" w:cs="Times New Roman"/>
                      <w:bCs w:val="0"/>
                      <w:snapToGrid/>
                      <w:color w:val="auto"/>
                      <w:kern w:val="2"/>
                      <w:sz w:val="21"/>
                      <w:szCs w:val="21"/>
                      <w:highlight w:val="none"/>
                      <w:lang w:val="en-US" w:eastAsia="zh-CN" w:bidi="ar-SA"/>
                    </w:rPr>
                    <w:t>；</w:t>
                  </w:r>
                </w:p>
                <w:p w14:paraId="7BB626F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Cs w:val="0"/>
                      <w:snapToGrid/>
                      <w:color w:val="auto"/>
                      <w:kern w:val="2"/>
                      <w:sz w:val="21"/>
                      <w:szCs w:val="21"/>
                      <w:highlight w:val="none"/>
                      <w:lang w:val="en-US" w:eastAsia="zh-CN" w:bidi="ar-SA"/>
                    </w:rPr>
                  </w:pPr>
                  <w:r>
                    <w:rPr>
                      <w:rFonts w:hint="default" w:ascii="Times New Roman" w:hAnsi="Times New Roman" w:eastAsia="宋体" w:cs="Times New Roman"/>
                      <w:bCs w:val="0"/>
                      <w:snapToGrid/>
                      <w:color w:val="auto"/>
                      <w:kern w:val="2"/>
                      <w:sz w:val="21"/>
                      <w:szCs w:val="21"/>
                      <w:lang w:val="en-US" w:eastAsia="zh-CN" w:bidi="ar-SA"/>
                    </w:rPr>
                    <w:t>2.</w:t>
                  </w:r>
                  <w:r>
                    <w:rPr>
                      <w:rFonts w:hint="eastAsia" w:ascii="Times New Roman" w:hAnsi="Times New Roman" w:eastAsia="宋体" w:cs="Times New Roman"/>
                      <w:bCs w:val="0"/>
                      <w:snapToGrid/>
                      <w:color w:val="auto"/>
                      <w:kern w:val="2"/>
                      <w:sz w:val="21"/>
                      <w:szCs w:val="21"/>
                      <w:highlight w:val="none"/>
                      <w:lang w:val="en-US" w:eastAsia="zh-CN" w:bidi="ar-SA"/>
                    </w:rPr>
                    <w:t>管道末端设置‌</w:t>
                  </w:r>
                  <w:r>
                    <w:rPr>
                      <w:rFonts w:hint="default" w:ascii="Times New Roman" w:hAnsi="Times New Roman" w:eastAsia="宋体" w:cs="Times New Roman"/>
                      <w:bCs w:val="0"/>
                      <w:snapToGrid/>
                      <w:color w:val="auto"/>
                      <w:kern w:val="2"/>
                      <w:sz w:val="21"/>
                      <w:szCs w:val="21"/>
                      <w:highlight w:val="none"/>
                      <w:lang w:val="en-US" w:eastAsia="zh-CN" w:bidi="ar-SA"/>
                    </w:rPr>
                    <w:t>低温真空泵转输结束后残留在管道和接头中的N₂O抽回至缓冲罐</w:t>
                  </w:r>
                  <w:r>
                    <w:rPr>
                      <w:rFonts w:hint="eastAsia" w:ascii="Times New Roman" w:hAnsi="Times New Roman" w:eastAsia="宋体" w:cs="Times New Roman"/>
                      <w:bCs w:val="0"/>
                      <w:snapToGrid/>
                      <w:color w:val="auto"/>
                      <w:kern w:val="2"/>
                      <w:sz w:val="21"/>
                      <w:szCs w:val="21"/>
                      <w:highlight w:val="none"/>
                      <w:lang w:val="en-US" w:eastAsia="zh-CN" w:bidi="ar-SA"/>
                    </w:rPr>
                    <w:t>；</w:t>
                  </w:r>
                </w:p>
                <w:p w14:paraId="540C8498">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Calibri" w:cs="Times New Roman"/>
                      <w:color w:val="auto"/>
                      <w:kern w:val="2"/>
                      <w:sz w:val="21"/>
                      <w:szCs w:val="21"/>
                      <w:highlight w:val="red"/>
                      <w:lang w:val="en-US" w:eastAsia="zh-CN" w:bidi="ar"/>
                    </w:rPr>
                  </w:pPr>
                  <w:r>
                    <w:rPr>
                      <w:rFonts w:hint="eastAsia" w:ascii="Times New Roman" w:hAnsi="Times New Roman" w:eastAsia="宋体" w:cs="Times New Roman"/>
                      <w:bCs w:val="0"/>
                      <w:snapToGrid/>
                      <w:color w:val="auto"/>
                      <w:kern w:val="2"/>
                      <w:sz w:val="21"/>
                      <w:szCs w:val="21"/>
                      <w:highlight w:val="none"/>
                      <w:lang w:val="en-US" w:eastAsia="zh-CN" w:bidi="ar-SA"/>
                    </w:rPr>
                    <w:t>3.充装线末端设置‌</w:t>
                  </w:r>
                  <w:r>
                    <w:rPr>
                      <w:rFonts w:hint="default" w:ascii="Times New Roman" w:hAnsi="Times New Roman" w:eastAsia="宋体" w:cs="Times New Roman"/>
                      <w:bCs w:val="0"/>
                      <w:snapToGrid/>
                      <w:color w:val="auto"/>
                      <w:kern w:val="2"/>
                      <w:sz w:val="21"/>
                      <w:szCs w:val="21"/>
                      <w:highlight w:val="none"/>
                      <w:lang w:val="en-US" w:eastAsia="zh-CN" w:bidi="ar-SA"/>
                    </w:rPr>
                    <w:t>低压回收管路‌，将操作后接头和管道内的残余N₂O抽回至缓冲罐</w:t>
                  </w:r>
                  <w:r>
                    <w:rPr>
                      <w:rFonts w:hint="eastAsia" w:cs="Times New Roman"/>
                      <w:bCs w:val="0"/>
                      <w:snapToGrid/>
                      <w:color w:val="auto"/>
                      <w:kern w:val="2"/>
                      <w:sz w:val="21"/>
                      <w:szCs w:val="21"/>
                      <w:highlight w:val="none"/>
                      <w:lang w:val="en-US" w:eastAsia="zh-CN" w:bidi="ar-SA"/>
                    </w:rPr>
                    <w:t>。</w:t>
                  </w:r>
                </w:p>
              </w:tc>
              <w:tc>
                <w:tcPr>
                  <w:tcW w:w="759" w:type="pct"/>
                  <w:tcBorders>
                    <w:tl2br w:val="nil"/>
                    <w:tr2bl w:val="nil"/>
                  </w:tcBorders>
                  <w:shd w:val="clear" w:color="auto" w:fill="auto"/>
                  <w:vAlign w:val="center"/>
                </w:tcPr>
                <w:p w14:paraId="500CB0E0">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red"/>
                      <w:lang w:val="en-US" w:eastAsia="zh-CN" w:bidi="ar"/>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206AF322">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2F8778C1">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p>
              </w:tc>
              <w:tc>
                <w:tcPr>
                  <w:tcW w:w="680" w:type="pct"/>
                  <w:tcBorders>
                    <w:tl2br w:val="nil"/>
                    <w:tr2bl w:val="nil"/>
                  </w:tcBorders>
                  <w:vAlign w:val="center"/>
                </w:tcPr>
                <w:p w14:paraId="6F92A8EA">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废水</w:t>
                  </w:r>
                </w:p>
              </w:tc>
              <w:tc>
                <w:tcPr>
                  <w:tcW w:w="3203" w:type="pct"/>
                  <w:tcBorders>
                    <w:tl2br w:val="nil"/>
                    <w:tr2bl w:val="nil"/>
                  </w:tcBorders>
                  <w:vAlign w:val="center"/>
                </w:tcPr>
                <w:p w14:paraId="209F5E72">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运行过程无生产废水排放；生活污水排入防渗</w:t>
                  </w:r>
                  <w:r>
                    <w:rPr>
                      <w:rFonts w:hint="eastAsia" w:ascii="Times New Roman" w:hAnsi="Times New Roman" w:eastAsia="宋体" w:cs="Times New Roman"/>
                      <w:b w:val="0"/>
                      <w:bCs/>
                      <w:color w:val="auto"/>
                      <w:sz w:val="21"/>
                      <w:szCs w:val="21"/>
                      <w:highlight w:val="none"/>
                      <w:vertAlign w:val="baseline"/>
                      <w:lang w:val="en-US" w:eastAsia="zh-CN"/>
                    </w:rPr>
                    <w:t>化粪池处理后，经市政下水管网排入城镇污水处理厂进一步处理</w:t>
                  </w:r>
                  <w:r>
                    <w:rPr>
                      <w:rFonts w:hint="default" w:ascii="Times New Roman" w:hAnsi="Times New Roman" w:eastAsia="宋体" w:cs="Times New Roman"/>
                      <w:b w:val="0"/>
                      <w:bCs/>
                      <w:color w:val="auto"/>
                      <w:sz w:val="21"/>
                      <w:szCs w:val="21"/>
                      <w:highlight w:val="none"/>
                      <w:vertAlign w:val="baseline"/>
                      <w:lang w:val="en-US" w:eastAsia="zh-CN"/>
                    </w:rPr>
                    <w:t>。</w:t>
                  </w:r>
                </w:p>
              </w:tc>
              <w:tc>
                <w:tcPr>
                  <w:tcW w:w="759" w:type="pct"/>
                  <w:tcBorders>
                    <w:tl2br w:val="nil"/>
                    <w:tr2bl w:val="nil"/>
                  </w:tcBorders>
                  <w:vAlign w:val="center"/>
                </w:tcPr>
                <w:p w14:paraId="6B47125B">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5C385856">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4A095C6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p>
              </w:tc>
              <w:tc>
                <w:tcPr>
                  <w:tcW w:w="680" w:type="pct"/>
                  <w:tcBorders>
                    <w:tl2br w:val="nil"/>
                    <w:tr2bl w:val="nil"/>
                  </w:tcBorders>
                  <w:vAlign w:val="center"/>
                </w:tcPr>
                <w:p w14:paraId="72D5D596">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噪声</w:t>
                  </w:r>
                </w:p>
              </w:tc>
              <w:tc>
                <w:tcPr>
                  <w:tcW w:w="3203" w:type="pct"/>
                  <w:tcBorders>
                    <w:tl2br w:val="nil"/>
                    <w:tr2bl w:val="nil"/>
                  </w:tcBorders>
                  <w:vAlign w:val="center"/>
                </w:tcPr>
                <w:p w14:paraId="22B5607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选用低噪音设备，采用基础减震、建筑隔声、加装减振垫、消音器</w:t>
                  </w:r>
                  <w:r>
                    <w:rPr>
                      <w:rFonts w:hint="default" w:ascii="Times New Roman" w:hAnsi="Times New Roman" w:eastAsia="宋体" w:cs="Times New Roman"/>
                      <w:color w:val="auto"/>
                      <w:sz w:val="21"/>
                      <w:szCs w:val="21"/>
                      <w:highlight w:val="none"/>
                      <w:vertAlign w:val="baseline"/>
                      <w:lang w:val="en-US" w:eastAsia="zh-CN"/>
                    </w:rPr>
                    <w:t>等措施</w:t>
                  </w:r>
                  <w:r>
                    <w:rPr>
                      <w:rFonts w:hint="eastAsia" w:ascii="Times New Roman" w:hAnsi="Times New Roman" w:eastAsia="宋体" w:cs="Times New Roman"/>
                      <w:color w:val="auto"/>
                      <w:sz w:val="21"/>
                      <w:szCs w:val="21"/>
                      <w:highlight w:val="none"/>
                      <w:vertAlign w:val="baseline"/>
                      <w:lang w:val="en-US" w:eastAsia="zh-CN"/>
                    </w:rPr>
                    <w:t>。</w:t>
                  </w:r>
                </w:p>
              </w:tc>
              <w:tc>
                <w:tcPr>
                  <w:tcW w:w="759" w:type="pct"/>
                  <w:tcBorders>
                    <w:tl2br w:val="nil"/>
                    <w:tr2bl w:val="nil"/>
                  </w:tcBorders>
                  <w:vAlign w:val="center"/>
                </w:tcPr>
                <w:p w14:paraId="4EB8F27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58DD518A">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3F332FA5">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p>
              </w:tc>
              <w:tc>
                <w:tcPr>
                  <w:tcW w:w="680" w:type="pct"/>
                  <w:vMerge w:val="restart"/>
                  <w:tcBorders>
                    <w:tl2br w:val="nil"/>
                    <w:tr2bl w:val="nil"/>
                  </w:tcBorders>
                  <w:vAlign w:val="center"/>
                </w:tcPr>
                <w:p w14:paraId="00431EA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固废</w:t>
                  </w:r>
                </w:p>
              </w:tc>
              <w:tc>
                <w:tcPr>
                  <w:tcW w:w="3203" w:type="pct"/>
                  <w:tcBorders>
                    <w:tl2br w:val="nil"/>
                    <w:tr2bl w:val="nil"/>
                  </w:tcBorders>
                  <w:shd w:val="clear" w:color="auto" w:fill="auto"/>
                  <w:vAlign w:val="center"/>
                </w:tcPr>
                <w:p w14:paraId="4B3C425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本项目在一氧化二氮充装车间西侧设置废钢瓶暂存区一处，占地面积15m</w:t>
                  </w:r>
                  <w:r>
                    <w:rPr>
                      <w:rFonts w:hint="default" w:ascii="Times New Roman" w:hAnsi="Times New Roman" w:eastAsia="宋体" w:cs="Times New Roman"/>
                      <w:b w:val="0"/>
                      <w:bCs/>
                      <w:color w:val="auto"/>
                      <w:sz w:val="21"/>
                      <w:szCs w:val="21"/>
                      <w:highlight w:val="none"/>
                      <w:vertAlign w:val="superscript"/>
                      <w:lang w:val="en-US" w:eastAsia="zh-CN"/>
                    </w:rPr>
                    <w:t>2</w:t>
                  </w:r>
                  <w:r>
                    <w:rPr>
                      <w:rFonts w:hint="default" w:ascii="Times New Roman" w:hAnsi="Times New Roman" w:eastAsia="宋体" w:cs="Times New Roman"/>
                      <w:b w:val="0"/>
                      <w:bCs/>
                      <w:color w:val="auto"/>
                      <w:sz w:val="21"/>
                      <w:szCs w:val="21"/>
                      <w:highlight w:val="none"/>
                      <w:vertAlign w:val="baseline"/>
                      <w:lang w:val="en-US" w:eastAsia="zh-CN"/>
                    </w:rPr>
                    <w:t>，检验不合格的废钢瓶经收集后交回供应商进行检修或报废处置。</w:t>
                  </w:r>
                </w:p>
              </w:tc>
              <w:tc>
                <w:tcPr>
                  <w:tcW w:w="759" w:type="pct"/>
                  <w:tcBorders>
                    <w:tl2br w:val="nil"/>
                    <w:tr2bl w:val="nil"/>
                  </w:tcBorders>
                  <w:shd w:val="clear" w:color="auto" w:fill="auto"/>
                  <w:vAlign w:val="center"/>
                </w:tcPr>
                <w:p w14:paraId="2298AF7C">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auto"/>
                      <w:kern w:val="18"/>
                      <w:sz w:val="21"/>
                      <w:szCs w:val="21"/>
                      <w:highlight w:val="red"/>
                      <w:lang w:val="en-US" w:eastAsia="zh-CN" w:bidi="ar-SA"/>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A70DE4C">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c>
                <w:tcPr>
                  <w:tcW w:w="356" w:type="pct"/>
                  <w:vMerge w:val="continue"/>
                  <w:tcBorders>
                    <w:tl2br w:val="nil"/>
                    <w:tr2bl w:val="nil"/>
                  </w:tcBorders>
                  <w:vAlign w:val="center"/>
                </w:tcPr>
                <w:p w14:paraId="771667C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p>
              </w:tc>
              <w:tc>
                <w:tcPr>
                  <w:tcW w:w="680" w:type="pct"/>
                  <w:vMerge w:val="continue"/>
                  <w:tcBorders>
                    <w:tl2br w:val="nil"/>
                    <w:tr2bl w:val="nil"/>
                  </w:tcBorders>
                  <w:vAlign w:val="center"/>
                </w:tcPr>
                <w:p w14:paraId="4DC6683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b w:val="0"/>
                      <w:bCs/>
                      <w:color w:val="auto"/>
                      <w:sz w:val="21"/>
                      <w:szCs w:val="21"/>
                      <w:highlight w:val="red"/>
                      <w:vertAlign w:val="baseline"/>
                      <w:lang w:val="en-US" w:eastAsia="zh-CN"/>
                    </w:rPr>
                  </w:pPr>
                </w:p>
              </w:tc>
              <w:tc>
                <w:tcPr>
                  <w:tcW w:w="3203" w:type="pct"/>
                  <w:tcBorders>
                    <w:tl2br w:val="nil"/>
                    <w:tr2bl w:val="nil"/>
                  </w:tcBorders>
                  <w:shd w:val="clear" w:color="auto" w:fill="auto"/>
                  <w:vAlign w:val="center"/>
                </w:tcPr>
                <w:p w14:paraId="3E2A28A5">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right="0" w:firstLine="0" w:firstLineChars="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本项目在一氧化二氮充装车间西侧设置危险废物贮存点一处，占地面积10m</w:t>
                  </w:r>
                  <w:r>
                    <w:rPr>
                      <w:rFonts w:hint="default" w:ascii="Times New Roman" w:hAnsi="Times New Roman" w:eastAsia="宋体" w:cs="Times New Roman"/>
                      <w:b w:val="0"/>
                      <w:bCs/>
                      <w:color w:val="auto"/>
                      <w:sz w:val="21"/>
                      <w:szCs w:val="21"/>
                      <w:highlight w:val="none"/>
                      <w:vertAlign w:val="superscript"/>
                      <w:lang w:val="en-US" w:eastAsia="zh-CN"/>
                    </w:rPr>
                    <w:t>2</w:t>
                  </w:r>
                  <w:r>
                    <w:rPr>
                      <w:rFonts w:hint="default" w:ascii="Times New Roman" w:hAnsi="Times New Roman" w:eastAsia="宋体" w:cs="Times New Roman"/>
                      <w:b w:val="0"/>
                      <w:bCs/>
                      <w:color w:val="auto"/>
                      <w:sz w:val="21"/>
                      <w:szCs w:val="21"/>
                      <w:highlight w:val="none"/>
                      <w:vertAlign w:val="baseline"/>
                      <w:lang w:val="en-US" w:eastAsia="zh-CN"/>
                    </w:rPr>
                    <w:t>，危险废物经暂存后，统一交由有资质单位处置。</w:t>
                  </w:r>
                </w:p>
              </w:tc>
              <w:tc>
                <w:tcPr>
                  <w:tcW w:w="759" w:type="pct"/>
                  <w:tcBorders>
                    <w:tl2br w:val="nil"/>
                    <w:tr2bl w:val="nil"/>
                  </w:tcBorders>
                  <w:shd w:val="clear" w:color="auto" w:fill="auto"/>
                  <w:vAlign w:val="center"/>
                </w:tcPr>
                <w:p w14:paraId="2F403BDF">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red"/>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bl>
          <w:p w14:paraId="4EB3A229">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2" w:firstLineChars="200"/>
              <w:jc w:val="both"/>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2.</w:t>
            </w:r>
            <w:r>
              <w:rPr>
                <w:rFonts w:hint="eastAsia" w:ascii="Times New Roman" w:hAnsi="Times New Roman" w:eastAsia="宋体" w:cs="Times New Roman"/>
                <w:b/>
                <w:bCs w:val="0"/>
                <w:color w:val="auto"/>
                <w:sz w:val="24"/>
                <w:szCs w:val="24"/>
                <w:highlight w:val="none"/>
                <w:lang w:val="en-US" w:eastAsia="zh-CN"/>
              </w:rPr>
              <w:t>产品方案</w:t>
            </w:r>
          </w:p>
          <w:p w14:paraId="7F40C73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w:t>
            </w:r>
            <w:r>
              <w:rPr>
                <w:rFonts w:hint="eastAsia" w:ascii="Times New Roman" w:hAnsi="Times New Roman" w:eastAsia="宋体" w:cs="Times New Roman"/>
                <w:b w:val="0"/>
                <w:bCs/>
                <w:color w:val="auto"/>
                <w:sz w:val="24"/>
                <w:szCs w:val="24"/>
                <w:highlight w:val="none"/>
                <w:lang w:val="en-US" w:eastAsia="zh-CN"/>
              </w:rPr>
              <w:t>产品方案</w:t>
            </w:r>
            <w:r>
              <w:rPr>
                <w:rFonts w:hint="default" w:ascii="Times New Roman" w:hAnsi="Times New Roman" w:eastAsia="宋体" w:cs="Times New Roman"/>
                <w:b w:val="0"/>
                <w:bCs/>
                <w:color w:val="auto"/>
                <w:sz w:val="24"/>
                <w:szCs w:val="24"/>
                <w:highlight w:val="none"/>
                <w:lang w:val="en-US" w:eastAsia="zh-CN"/>
              </w:rPr>
              <w:t>如下表所示。</w:t>
            </w:r>
          </w:p>
          <w:p w14:paraId="079632D5">
            <w:pPr>
              <w:pStyle w:val="12"/>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default" w:ascii="Times New Roman" w:hAnsi="Times New Roman" w:eastAsia="黑体" w:cs="Times New Roman"/>
                <w:b w:val="0"/>
                <w:bCs/>
                <w:color w:val="auto"/>
                <w:sz w:val="21"/>
                <w:szCs w:val="21"/>
                <w:highlight w:val="none"/>
                <w:lang w:val="en-US" w:eastAsia="zh-CN"/>
              </w:rPr>
              <w:t>2-2</w:t>
            </w:r>
            <w:r>
              <w:rPr>
                <w:rFonts w:hint="eastAsia" w:eastAsia="黑体" w:cs="Times New Roman"/>
                <w:b w:val="0"/>
                <w:bCs/>
                <w:color w:val="auto"/>
                <w:sz w:val="21"/>
                <w:szCs w:val="21"/>
                <w:highlight w:val="none"/>
                <w:lang w:val="en-US" w:eastAsia="zh-CN"/>
              </w:rPr>
              <w:t>产品方案</w:t>
            </w:r>
            <w:r>
              <w:rPr>
                <w:rFonts w:hint="default" w:ascii="Times New Roman" w:hAnsi="Times New Roman" w:eastAsia="黑体" w:cs="Times New Roman"/>
                <w:b w:val="0"/>
                <w:bCs/>
                <w:color w:val="auto"/>
                <w:sz w:val="21"/>
                <w:szCs w:val="21"/>
                <w:highlight w:val="none"/>
              </w:rPr>
              <w:t>一览表</w:t>
            </w:r>
          </w:p>
          <w:tbl>
            <w:tblPr>
              <w:tblStyle w:val="25"/>
              <w:tblW w:w="4992"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55"/>
              <w:gridCol w:w="939"/>
              <w:gridCol w:w="1092"/>
              <w:gridCol w:w="839"/>
              <w:gridCol w:w="1006"/>
              <w:gridCol w:w="1198"/>
              <w:gridCol w:w="985"/>
            </w:tblGrid>
            <w:tr w14:paraId="2886A3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4" w:type="pct"/>
                  <w:tcBorders>
                    <w:tl2br w:val="nil"/>
                    <w:tr2bl w:val="nil"/>
                  </w:tcBorders>
                  <w:vAlign w:val="center"/>
                </w:tcPr>
                <w:p w14:paraId="3EBC51C6">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产品名称</w:t>
                  </w:r>
                </w:p>
              </w:tc>
              <w:tc>
                <w:tcPr>
                  <w:tcW w:w="420" w:type="pct"/>
                  <w:tcBorders>
                    <w:tl2br w:val="nil"/>
                    <w:tr2bl w:val="nil"/>
                  </w:tcBorders>
                  <w:vAlign w:val="center"/>
                </w:tcPr>
                <w:p w14:paraId="2BEF66D9">
                  <w:pPr>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包装形式</w:t>
                  </w:r>
                </w:p>
              </w:tc>
              <w:tc>
                <w:tcPr>
                  <w:tcW w:w="602" w:type="pct"/>
                  <w:tcBorders>
                    <w:tl2br w:val="nil"/>
                    <w:tr2bl w:val="nil"/>
                  </w:tcBorders>
                  <w:vAlign w:val="center"/>
                </w:tcPr>
                <w:p w14:paraId="6BCED2E6">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包装规格</w:t>
                  </w:r>
                </w:p>
              </w:tc>
              <w:tc>
                <w:tcPr>
                  <w:tcW w:w="700" w:type="pct"/>
                  <w:tcBorders>
                    <w:tl2br w:val="nil"/>
                    <w:tr2bl w:val="nil"/>
                  </w:tcBorders>
                  <w:vAlign w:val="center"/>
                </w:tcPr>
                <w:p w14:paraId="6A340085">
                  <w:pPr>
                    <w:jc w:val="cente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单瓶气体重量（kg/瓶）</w:t>
                  </w:r>
                </w:p>
              </w:tc>
              <w:tc>
                <w:tcPr>
                  <w:tcW w:w="538" w:type="pct"/>
                  <w:tcBorders>
                    <w:tl2br w:val="nil"/>
                    <w:tr2bl w:val="nil"/>
                  </w:tcBorders>
                  <w:vAlign w:val="center"/>
                </w:tcPr>
                <w:p w14:paraId="1BC183BD">
                  <w:pPr>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日产量（瓶/d）</w:t>
                  </w:r>
                </w:p>
              </w:tc>
              <w:tc>
                <w:tcPr>
                  <w:tcW w:w="645" w:type="pct"/>
                  <w:tcBorders>
                    <w:tl2br w:val="nil"/>
                    <w:tr2bl w:val="nil"/>
                  </w:tcBorders>
                  <w:vAlign w:val="center"/>
                </w:tcPr>
                <w:p w14:paraId="4AF3F93E">
                  <w:pPr>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年产量</w:t>
                  </w:r>
                </w:p>
                <w:p w14:paraId="12EB1931">
                  <w:pPr>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（瓶/a）</w:t>
                  </w:r>
                </w:p>
              </w:tc>
              <w:tc>
                <w:tcPr>
                  <w:tcW w:w="768" w:type="pct"/>
                  <w:tcBorders>
                    <w:tl2br w:val="nil"/>
                    <w:tr2bl w:val="nil"/>
                  </w:tcBorders>
                  <w:vAlign w:val="center"/>
                </w:tcPr>
                <w:p w14:paraId="0C82B795">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最大贮存量（瓶）</w:t>
                  </w:r>
                </w:p>
              </w:tc>
              <w:tc>
                <w:tcPr>
                  <w:tcW w:w="631" w:type="pct"/>
                  <w:tcBorders>
                    <w:tl2br w:val="nil"/>
                    <w:tr2bl w:val="nil"/>
                  </w:tcBorders>
                  <w:vAlign w:val="center"/>
                </w:tcPr>
                <w:p w14:paraId="4DE3B632">
                  <w:pPr>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最大贮存量（t）</w:t>
                  </w:r>
                </w:p>
              </w:tc>
            </w:tr>
            <w:tr w14:paraId="52EE39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4" w:type="pct"/>
                  <w:tcBorders>
                    <w:tl2br w:val="nil"/>
                    <w:tr2bl w:val="nil"/>
                  </w:tcBorders>
                  <w:vAlign w:val="center"/>
                </w:tcPr>
                <w:p w14:paraId="2AFC69EA">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液态一氧化二氮</w:t>
                  </w:r>
                </w:p>
              </w:tc>
              <w:tc>
                <w:tcPr>
                  <w:tcW w:w="420" w:type="pct"/>
                  <w:tcBorders>
                    <w:tl2br w:val="nil"/>
                    <w:tr2bl w:val="nil"/>
                  </w:tcBorders>
                  <w:vAlign w:val="center"/>
                </w:tcPr>
                <w:p w14:paraId="35A606DE">
                  <w:pPr>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气瓶</w:t>
                  </w:r>
                </w:p>
              </w:tc>
              <w:tc>
                <w:tcPr>
                  <w:tcW w:w="602" w:type="pct"/>
                  <w:tcBorders>
                    <w:tl2br w:val="nil"/>
                    <w:tr2bl w:val="nil"/>
                  </w:tcBorders>
                  <w:vAlign w:val="center"/>
                </w:tcPr>
                <w:p w14:paraId="7A0F0023">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3.3L/瓶</w:t>
                  </w:r>
                </w:p>
              </w:tc>
              <w:tc>
                <w:tcPr>
                  <w:tcW w:w="700" w:type="pct"/>
                  <w:tcBorders>
                    <w:tl2br w:val="nil"/>
                    <w:tr2bl w:val="nil"/>
                  </w:tcBorders>
                  <w:vAlign w:val="center"/>
                </w:tcPr>
                <w:p w14:paraId="224820D3">
                  <w:pPr>
                    <w:jc w:val="center"/>
                    <w:rPr>
                      <w:rFonts w:hint="default" w:ascii="Times New Roman" w:hAnsi="Times New Roman" w:cs="Times New Roman"/>
                      <w:sz w:val="21"/>
                      <w:szCs w:val="21"/>
                      <w:highlight w:val="none"/>
                      <w:vertAlign w:val="baseline"/>
                      <w:lang w:val="en-US" w:eastAsia="zh-CN"/>
                    </w:rPr>
                  </w:pPr>
                  <w:r>
                    <w:rPr>
                      <w:rFonts w:hint="eastAsia" w:ascii="Times New Roman" w:hAnsi="Times New Roman" w:cs="Times New Roman"/>
                      <w:sz w:val="21"/>
                      <w:szCs w:val="21"/>
                      <w:highlight w:val="none"/>
                      <w:vertAlign w:val="baseline"/>
                      <w:lang w:val="en-US" w:eastAsia="zh-CN"/>
                    </w:rPr>
                    <w:t>2.</w:t>
                  </w:r>
                  <w:r>
                    <w:rPr>
                      <w:rFonts w:hint="eastAsia" w:cs="Times New Roman"/>
                      <w:sz w:val="21"/>
                      <w:szCs w:val="21"/>
                      <w:highlight w:val="none"/>
                      <w:vertAlign w:val="baseline"/>
                      <w:lang w:val="en-US" w:eastAsia="zh-CN"/>
                    </w:rPr>
                    <w:t>0</w:t>
                  </w:r>
                </w:p>
              </w:tc>
              <w:tc>
                <w:tcPr>
                  <w:tcW w:w="538" w:type="pct"/>
                  <w:tcBorders>
                    <w:tl2br w:val="nil"/>
                    <w:tr2bl w:val="nil"/>
                  </w:tcBorders>
                  <w:vAlign w:val="center"/>
                </w:tcPr>
                <w:p w14:paraId="01991742">
                  <w:pPr>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w:t>
                  </w:r>
                  <w:r>
                    <w:rPr>
                      <w:rFonts w:hint="eastAsia" w:cs="Times New Roman"/>
                      <w:sz w:val="21"/>
                      <w:szCs w:val="21"/>
                      <w:highlight w:val="none"/>
                      <w:vertAlign w:val="baseline"/>
                      <w:lang w:val="en-US" w:eastAsia="zh-CN"/>
                    </w:rPr>
                    <w:t>5</w:t>
                  </w:r>
                  <w:r>
                    <w:rPr>
                      <w:rFonts w:hint="default" w:ascii="Times New Roman" w:hAnsi="Times New Roman" w:cs="Times New Roman"/>
                      <w:sz w:val="21"/>
                      <w:szCs w:val="21"/>
                      <w:highlight w:val="none"/>
                      <w:vertAlign w:val="baseline"/>
                      <w:lang w:val="en-US" w:eastAsia="zh-CN"/>
                    </w:rPr>
                    <w:t>000</w:t>
                  </w:r>
                </w:p>
              </w:tc>
              <w:tc>
                <w:tcPr>
                  <w:tcW w:w="645" w:type="pct"/>
                  <w:tcBorders>
                    <w:tl2br w:val="nil"/>
                    <w:tr2bl w:val="nil"/>
                  </w:tcBorders>
                  <w:vAlign w:val="center"/>
                </w:tcPr>
                <w:p w14:paraId="77175E6D">
                  <w:pPr>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4950000</w:t>
                  </w:r>
                </w:p>
              </w:tc>
              <w:tc>
                <w:tcPr>
                  <w:tcW w:w="768" w:type="pct"/>
                  <w:tcBorders>
                    <w:tl2br w:val="nil"/>
                    <w:tr2bl w:val="nil"/>
                  </w:tcBorders>
                  <w:vAlign w:val="center"/>
                </w:tcPr>
                <w:p w14:paraId="086AB4DB">
                  <w:pPr>
                    <w:jc w:val="center"/>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15</w:t>
                  </w:r>
                  <w:r>
                    <w:rPr>
                      <w:rFonts w:hint="default" w:ascii="Times New Roman" w:hAnsi="Times New Roman" w:cs="Times New Roman"/>
                      <w:sz w:val="21"/>
                      <w:szCs w:val="21"/>
                      <w:vertAlign w:val="baseline"/>
                      <w:lang w:val="en-US" w:eastAsia="zh-CN"/>
                    </w:rPr>
                    <w:t>000</w:t>
                  </w:r>
                </w:p>
              </w:tc>
              <w:tc>
                <w:tcPr>
                  <w:tcW w:w="631" w:type="pct"/>
                  <w:tcBorders>
                    <w:tl2br w:val="nil"/>
                    <w:tr2bl w:val="nil"/>
                  </w:tcBorders>
                  <w:vAlign w:val="center"/>
                </w:tcPr>
                <w:p w14:paraId="2AD9D7ED">
                  <w:pPr>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30</w:t>
                  </w:r>
                </w:p>
              </w:tc>
            </w:tr>
            <w:tr w14:paraId="3DBDD4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4" w:type="pct"/>
                  <w:tcBorders>
                    <w:tl2br w:val="nil"/>
                    <w:tr2bl w:val="nil"/>
                  </w:tcBorders>
                  <w:vAlign w:val="center"/>
                </w:tcPr>
                <w:p w14:paraId="56B3073F">
                  <w:pPr>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压缩</w:t>
                  </w:r>
                  <w:r>
                    <w:rPr>
                      <w:rFonts w:hint="default" w:ascii="Times New Roman" w:hAnsi="Times New Roman" w:cs="Times New Roman"/>
                      <w:sz w:val="21"/>
                      <w:szCs w:val="21"/>
                      <w:vertAlign w:val="baseline"/>
                      <w:lang w:val="en-US" w:eastAsia="zh-CN"/>
                    </w:rPr>
                    <w:t>氮气</w:t>
                  </w:r>
                </w:p>
              </w:tc>
              <w:tc>
                <w:tcPr>
                  <w:tcW w:w="420" w:type="pct"/>
                  <w:tcBorders>
                    <w:tl2br w:val="nil"/>
                    <w:tr2bl w:val="nil"/>
                  </w:tcBorders>
                  <w:vAlign w:val="center"/>
                </w:tcPr>
                <w:p w14:paraId="412FD4A6">
                  <w:pPr>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气瓶</w:t>
                  </w:r>
                </w:p>
              </w:tc>
              <w:tc>
                <w:tcPr>
                  <w:tcW w:w="602" w:type="pct"/>
                  <w:tcBorders>
                    <w:tl2br w:val="nil"/>
                    <w:tr2bl w:val="nil"/>
                  </w:tcBorders>
                  <w:vAlign w:val="center"/>
                </w:tcPr>
                <w:p w14:paraId="21D3022E">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40L/瓶</w:t>
                  </w:r>
                </w:p>
              </w:tc>
              <w:tc>
                <w:tcPr>
                  <w:tcW w:w="700" w:type="pct"/>
                  <w:tcBorders>
                    <w:tl2br w:val="nil"/>
                    <w:tr2bl w:val="nil"/>
                  </w:tcBorders>
                  <w:vAlign w:val="center"/>
                </w:tcPr>
                <w:p w14:paraId="48BB3CF3">
                  <w:pPr>
                    <w:jc w:val="center"/>
                    <w:rPr>
                      <w:rFonts w:hint="default" w:ascii="Times New Roman" w:hAnsi="Times New Roman" w:cs="Times New Roman"/>
                      <w:sz w:val="21"/>
                      <w:szCs w:val="21"/>
                      <w:highlight w:val="none"/>
                      <w:vertAlign w:val="baseline"/>
                      <w:lang w:val="en-US" w:eastAsia="zh-CN"/>
                    </w:rPr>
                  </w:pPr>
                  <w:r>
                    <w:rPr>
                      <w:rFonts w:hint="eastAsia" w:ascii="Times New Roman" w:hAnsi="Times New Roman" w:cs="Times New Roman"/>
                      <w:sz w:val="21"/>
                      <w:szCs w:val="21"/>
                      <w:highlight w:val="none"/>
                      <w:vertAlign w:val="baseline"/>
                      <w:lang w:val="en-US" w:eastAsia="zh-CN"/>
                    </w:rPr>
                    <w:t>6.</w:t>
                  </w:r>
                  <w:r>
                    <w:rPr>
                      <w:rFonts w:hint="eastAsia" w:cs="Times New Roman"/>
                      <w:sz w:val="21"/>
                      <w:szCs w:val="21"/>
                      <w:highlight w:val="none"/>
                      <w:vertAlign w:val="baseline"/>
                      <w:lang w:val="en-US" w:eastAsia="zh-CN"/>
                    </w:rPr>
                    <w:t>5</w:t>
                  </w:r>
                </w:p>
              </w:tc>
              <w:tc>
                <w:tcPr>
                  <w:tcW w:w="538" w:type="pct"/>
                  <w:tcBorders>
                    <w:tl2br w:val="nil"/>
                    <w:tr2bl w:val="nil"/>
                  </w:tcBorders>
                  <w:vAlign w:val="center"/>
                </w:tcPr>
                <w:p w14:paraId="00DAF117">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w:t>
                  </w:r>
                </w:p>
              </w:tc>
              <w:tc>
                <w:tcPr>
                  <w:tcW w:w="645" w:type="pct"/>
                  <w:tcBorders>
                    <w:tl2br w:val="nil"/>
                    <w:tr2bl w:val="nil"/>
                  </w:tcBorders>
                  <w:vAlign w:val="center"/>
                </w:tcPr>
                <w:p w14:paraId="79F91DCB">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33000</w:t>
                  </w:r>
                </w:p>
              </w:tc>
              <w:tc>
                <w:tcPr>
                  <w:tcW w:w="768" w:type="pct"/>
                  <w:tcBorders>
                    <w:tl2br w:val="nil"/>
                    <w:tr2bl w:val="nil"/>
                  </w:tcBorders>
                  <w:vAlign w:val="center"/>
                </w:tcPr>
                <w:p w14:paraId="5614718E">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200</w:t>
                  </w:r>
                </w:p>
              </w:tc>
              <w:tc>
                <w:tcPr>
                  <w:tcW w:w="631" w:type="pct"/>
                  <w:tcBorders>
                    <w:tl2br w:val="nil"/>
                    <w:tr2bl w:val="nil"/>
                  </w:tcBorders>
                  <w:vAlign w:val="center"/>
                </w:tcPr>
                <w:p w14:paraId="7BBF2368">
                  <w:pPr>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1.3</w:t>
                  </w:r>
                </w:p>
              </w:tc>
            </w:tr>
            <w:tr w14:paraId="4AAB1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4" w:type="pct"/>
                  <w:tcBorders>
                    <w:tl2br w:val="nil"/>
                    <w:tr2bl w:val="nil"/>
                  </w:tcBorders>
                  <w:vAlign w:val="center"/>
                </w:tcPr>
                <w:p w14:paraId="6A1B2364">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液态二氧化碳</w:t>
                  </w:r>
                </w:p>
              </w:tc>
              <w:tc>
                <w:tcPr>
                  <w:tcW w:w="420" w:type="pct"/>
                  <w:tcBorders>
                    <w:tl2br w:val="nil"/>
                    <w:tr2bl w:val="nil"/>
                  </w:tcBorders>
                  <w:vAlign w:val="center"/>
                </w:tcPr>
                <w:p w14:paraId="7D65A6A9">
                  <w:pPr>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气瓶</w:t>
                  </w:r>
                </w:p>
              </w:tc>
              <w:tc>
                <w:tcPr>
                  <w:tcW w:w="602" w:type="pct"/>
                  <w:tcBorders>
                    <w:tl2br w:val="nil"/>
                    <w:tr2bl w:val="nil"/>
                  </w:tcBorders>
                  <w:vAlign w:val="center"/>
                </w:tcPr>
                <w:p w14:paraId="4D62BFA4">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40L/瓶</w:t>
                  </w:r>
                </w:p>
              </w:tc>
              <w:tc>
                <w:tcPr>
                  <w:tcW w:w="700" w:type="pct"/>
                  <w:tcBorders>
                    <w:tl2br w:val="nil"/>
                    <w:tr2bl w:val="nil"/>
                  </w:tcBorders>
                  <w:vAlign w:val="center"/>
                </w:tcPr>
                <w:p w14:paraId="012F4202">
                  <w:pPr>
                    <w:jc w:val="center"/>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20</w:t>
                  </w:r>
                </w:p>
              </w:tc>
              <w:tc>
                <w:tcPr>
                  <w:tcW w:w="538" w:type="pct"/>
                  <w:tcBorders>
                    <w:tl2br w:val="nil"/>
                    <w:tr2bl w:val="nil"/>
                  </w:tcBorders>
                  <w:vAlign w:val="center"/>
                </w:tcPr>
                <w:p w14:paraId="02B92649">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100</w:t>
                  </w:r>
                </w:p>
              </w:tc>
              <w:tc>
                <w:tcPr>
                  <w:tcW w:w="645" w:type="pct"/>
                  <w:tcBorders>
                    <w:tl2br w:val="nil"/>
                    <w:tr2bl w:val="nil"/>
                  </w:tcBorders>
                  <w:vAlign w:val="center"/>
                </w:tcPr>
                <w:p w14:paraId="591059B2">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33000</w:t>
                  </w:r>
                </w:p>
              </w:tc>
              <w:tc>
                <w:tcPr>
                  <w:tcW w:w="768" w:type="pct"/>
                  <w:tcBorders>
                    <w:tl2br w:val="nil"/>
                    <w:tr2bl w:val="nil"/>
                  </w:tcBorders>
                  <w:vAlign w:val="center"/>
                </w:tcPr>
                <w:p w14:paraId="68B20939">
                  <w:pPr>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200</w:t>
                  </w:r>
                </w:p>
              </w:tc>
              <w:tc>
                <w:tcPr>
                  <w:tcW w:w="631" w:type="pct"/>
                  <w:tcBorders>
                    <w:tl2br w:val="nil"/>
                    <w:tr2bl w:val="nil"/>
                  </w:tcBorders>
                  <w:vAlign w:val="center"/>
                </w:tcPr>
                <w:p w14:paraId="6D9516A2">
                  <w:pPr>
                    <w:jc w:val="center"/>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4.0</w:t>
                  </w:r>
                </w:p>
              </w:tc>
            </w:tr>
          </w:tbl>
          <w:p w14:paraId="723B4C0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2" w:firstLineChars="200"/>
              <w:jc w:val="both"/>
              <w:textAlignment w:val="auto"/>
              <w:rPr>
                <w:rFonts w:hint="eastAsia"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3.主要原辅料及能源消耗</w:t>
            </w:r>
          </w:p>
          <w:p w14:paraId="17715666">
            <w:pPr>
              <w:pStyle w:val="11"/>
              <w:jc w:val="both"/>
              <w:rPr>
                <w:rFonts w:hint="default" w:ascii="Times New Roman" w:hAnsi="Times New Roman" w:eastAsia="宋体" w:cs="Times New Roman"/>
                <w:b w:val="0"/>
                <w:bCs/>
                <w:color w:val="auto"/>
                <w:kern w:val="18"/>
                <w:sz w:val="24"/>
                <w:szCs w:val="24"/>
                <w:highlight w:val="none"/>
                <w:lang w:val="en-US" w:eastAsia="zh-CN" w:bidi="ar-SA"/>
              </w:rPr>
            </w:pPr>
            <w:r>
              <w:rPr>
                <w:rFonts w:hint="eastAsia" w:ascii="Times New Roman" w:hAnsi="Times New Roman" w:eastAsia="宋体" w:cs="Times New Roman"/>
                <w:b w:val="0"/>
                <w:bCs/>
                <w:color w:val="auto"/>
                <w:kern w:val="18"/>
                <w:sz w:val="24"/>
                <w:szCs w:val="24"/>
                <w:highlight w:val="none"/>
                <w:lang w:val="en-US" w:eastAsia="zh-CN" w:bidi="ar-SA"/>
              </w:rPr>
              <w:t>本项目主要原辅料及能源消耗情况如下表所示。</w:t>
            </w:r>
          </w:p>
          <w:p w14:paraId="54BFB403">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p>
          <w:p w14:paraId="09E86848">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p>
          <w:p w14:paraId="1021DCF9">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p>
          <w:p w14:paraId="26F5EA20">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p>
          <w:p w14:paraId="171D5455">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p>
          <w:p w14:paraId="2EF00DE6">
            <w:pPr>
              <w:pStyle w:val="11"/>
              <w:spacing w:line="240" w:lineRule="auto"/>
              <w:ind w:left="0" w:leftChars="0" w:firstLine="0" w:firstLineChars="0"/>
              <w:jc w:val="center"/>
              <w:rPr>
                <w:rFonts w:hint="default" w:ascii="Times New Roman" w:hAnsi="Times New Roman" w:eastAsia="黑体" w:cs="Times New Roman"/>
                <w:b w:val="0"/>
                <w:bCs/>
                <w:color w:val="auto"/>
                <w:kern w:val="2"/>
                <w:sz w:val="21"/>
                <w:szCs w:val="21"/>
                <w:highlight w:val="none"/>
                <w:lang w:val="en-US" w:eastAsia="zh-CN" w:bidi="ar-SA"/>
              </w:rPr>
            </w:pPr>
            <w:r>
              <w:rPr>
                <w:rFonts w:hint="default" w:ascii="Times New Roman" w:hAnsi="Times New Roman" w:eastAsia="黑体" w:cs="Times New Roman"/>
                <w:b w:val="0"/>
                <w:bCs/>
                <w:color w:val="auto"/>
                <w:kern w:val="2"/>
                <w:sz w:val="21"/>
                <w:szCs w:val="21"/>
                <w:highlight w:val="none"/>
                <w:lang w:val="en-US" w:eastAsia="zh-CN" w:bidi="ar-SA"/>
              </w:rPr>
              <w:t>表2</w:t>
            </w:r>
            <w:r>
              <w:rPr>
                <w:rFonts w:hint="eastAsia" w:ascii="Times New Roman" w:hAnsi="Times New Roman" w:eastAsia="黑体" w:cs="Times New Roman"/>
                <w:b w:val="0"/>
                <w:bCs/>
                <w:color w:val="auto"/>
                <w:kern w:val="2"/>
                <w:sz w:val="21"/>
                <w:szCs w:val="21"/>
                <w:highlight w:val="none"/>
                <w:lang w:val="en-US" w:eastAsia="zh-CN" w:bidi="ar-SA"/>
              </w:rPr>
              <w:t>-</w:t>
            </w:r>
            <w:r>
              <w:rPr>
                <w:rFonts w:hint="eastAsia" w:eastAsia="黑体" w:cs="Times New Roman"/>
                <w:b w:val="0"/>
                <w:bCs/>
                <w:color w:val="auto"/>
                <w:kern w:val="2"/>
                <w:sz w:val="21"/>
                <w:szCs w:val="21"/>
                <w:highlight w:val="none"/>
                <w:lang w:val="en-US" w:eastAsia="zh-CN" w:bidi="ar-SA"/>
              </w:rPr>
              <w:t>3</w:t>
            </w:r>
            <w:r>
              <w:rPr>
                <w:rFonts w:hint="default" w:ascii="Times New Roman" w:hAnsi="Times New Roman" w:eastAsia="黑体" w:cs="Times New Roman"/>
                <w:b w:val="0"/>
                <w:bCs/>
                <w:color w:val="auto"/>
                <w:kern w:val="2"/>
                <w:sz w:val="21"/>
                <w:szCs w:val="21"/>
                <w:highlight w:val="none"/>
                <w:lang w:val="en-US" w:eastAsia="zh-CN" w:bidi="ar-SA"/>
              </w:rPr>
              <w:t>项目主要原辅材料消耗一览表</w:t>
            </w:r>
          </w:p>
          <w:tbl>
            <w:tblPr>
              <w:tblStyle w:val="24"/>
              <w:tblpPr w:leftFromText="180" w:rightFromText="180" w:vertAnchor="text" w:tblpXSpec="center" w:tblpY="1"/>
              <w:tblOverlap w:val="never"/>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762"/>
              <w:gridCol w:w="1133"/>
              <w:gridCol w:w="1200"/>
              <w:gridCol w:w="1166"/>
              <w:gridCol w:w="1054"/>
              <w:gridCol w:w="1040"/>
              <w:gridCol w:w="9"/>
            </w:tblGrid>
            <w:tr w14:paraId="7FD8D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1" w:type="pct"/>
                  <w:tcBorders>
                    <w:tl2br w:val="nil"/>
                    <w:tr2bl w:val="nil"/>
                  </w:tcBorders>
                  <w:noWrap w:val="0"/>
                  <w:vAlign w:val="center"/>
                </w:tcPr>
                <w:p w14:paraId="6C4227D5">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序号</w:t>
                  </w:r>
                </w:p>
              </w:tc>
              <w:tc>
                <w:tcPr>
                  <w:tcW w:w="1129" w:type="pct"/>
                  <w:tcBorders>
                    <w:tl2br w:val="nil"/>
                    <w:tr2bl w:val="nil"/>
                  </w:tcBorders>
                  <w:noWrap w:val="0"/>
                  <w:vAlign w:val="center"/>
                </w:tcPr>
                <w:p w14:paraId="71B41A67">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原辅料/能源名称</w:t>
                  </w:r>
                </w:p>
              </w:tc>
              <w:tc>
                <w:tcPr>
                  <w:tcW w:w="726" w:type="pct"/>
                  <w:tcBorders>
                    <w:tl2br w:val="nil"/>
                    <w:tr2bl w:val="nil"/>
                  </w:tcBorders>
                  <w:noWrap w:val="0"/>
                  <w:vAlign w:val="center"/>
                </w:tcPr>
                <w:p w14:paraId="39EF93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密度</w:t>
                  </w:r>
                </w:p>
              </w:tc>
              <w:tc>
                <w:tcPr>
                  <w:tcW w:w="768" w:type="pct"/>
                  <w:tcBorders>
                    <w:tl2br w:val="nil"/>
                    <w:tr2bl w:val="nil"/>
                  </w:tcBorders>
                  <w:noWrap w:val="0"/>
                  <w:vAlign w:val="center"/>
                </w:tcPr>
                <w:p w14:paraId="75FF11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纯度</w:t>
                  </w: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w:t>
                  </w:r>
                </w:p>
              </w:tc>
              <w:tc>
                <w:tcPr>
                  <w:tcW w:w="747" w:type="pct"/>
                  <w:tcBorders>
                    <w:tl2br w:val="nil"/>
                    <w:tr2bl w:val="nil"/>
                  </w:tcBorders>
                  <w:noWrap w:val="0"/>
                  <w:vAlign w:val="center"/>
                </w:tcPr>
                <w:p w14:paraId="0907B4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年消耗量t/a</w:t>
                  </w:r>
                </w:p>
              </w:tc>
              <w:tc>
                <w:tcPr>
                  <w:tcW w:w="675" w:type="pct"/>
                  <w:tcBorders>
                    <w:tl2br w:val="nil"/>
                    <w:tr2bl w:val="nil"/>
                  </w:tcBorders>
                  <w:noWrap w:val="0"/>
                  <w:vAlign w:val="center"/>
                </w:tcPr>
                <w:p w14:paraId="6AD4FB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最大贮存量t/a</w:t>
                  </w:r>
                </w:p>
              </w:tc>
              <w:tc>
                <w:tcPr>
                  <w:tcW w:w="672" w:type="pct"/>
                  <w:gridSpan w:val="2"/>
                  <w:tcBorders>
                    <w:tl2br w:val="nil"/>
                    <w:tr2bl w:val="nil"/>
                  </w:tcBorders>
                  <w:noWrap w:val="0"/>
                  <w:vAlign w:val="center"/>
                </w:tcPr>
                <w:p w14:paraId="322EAC84">
                  <w:pPr>
                    <w:jc w:val="center"/>
                    <w:rPr>
                      <w:rFonts w:hint="default" w:ascii="Times New Roman" w:hAnsi="Times New Roman" w:cs="Times New Roman"/>
                      <w:b w:val="0"/>
                      <w:bCs w:val="0"/>
                      <w:sz w:val="21"/>
                      <w:szCs w:val="21"/>
                      <w:u w:val="none" w:color="auto"/>
                      <w:lang w:val="en-US" w:eastAsia="zh-CN"/>
                    </w:rPr>
                  </w:pPr>
                  <w:r>
                    <w:rPr>
                      <w:rFonts w:hint="default" w:ascii="Times New Roman" w:hAnsi="Times New Roman" w:cs="Times New Roman"/>
                      <w:b w:val="0"/>
                      <w:bCs w:val="0"/>
                      <w:sz w:val="21"/>
                      <w:szCs w:val="21"/>
                      <w:u w:val="none" w:color="auto"/>
                      <w:lang w:val="en-US" w:eastAsia="zh-CN"/>
                    </w:rPr>
                    <w:t>储罐容积</w:t>
                  </w:r>
                </w:p>
              </w:tc>
            </w:tr>
            <w:tr w14:paraId="13EE9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81" w:type="pct"/>
                  <w:tcBorders>
                    <w:tl2br w:val="nil"/>
                    <w:tr2bl w:val="nil"/>
                  </w:tcBorders>
                  <w:noWrap w:val="0"/>
                  <w:vAlign w:val="center"/>
                </w:tcPr>
                <w:p w14:paraId="59C6FA9B">
                  <w:pPr>
                    <w:jc w:val="center"/>
                    <w:rPr>
                      <w:rFonts w:hint="default" w:ascii="Times New Roman" w:hAnsi="Times New Roman" w:eastAsia="宋体" w:cs="Times New Roman"/>
                      <w:b w:val="0"/>
                      <w:bCs w:val="0"/>
                      <w:sz w:val="21"/>
                      <w:szCs w:val="21"/>
                      <w:u w:val="none" w:color="auto"/>
                    </w:rPr>
                  </w:pPr>
                  <w:r>
                    <w:rPr>
                      <w:rFonts w:hint="default" w:ascii="Times New Roman" w:hAnsi="Times New Roman" w:eastAsia="宋体" w:cs="Times New Roman"/>
                      <w:b w:val="0"/>
                      <w:bCs w:val="0"/>
                      <w:sz w:val="21"/>
                      <w:szCs w:val="21"/>
                      <w:u w:val="none" w:color="auto"/>
                    </w:rPr>
                    <w:t>1</w:t>
                  </w:r>
                </w:p>
              </w:tc>
              <w:tc>
                <w:tcPr>
                  <w:tcW w:w="1129" w:type="pct"/>
                  <w:tcBorders>
                    <w:tl2br w:val="nil"/>
                    <w:tr2bl w:val="nil"/>
                  </w:tcBorders>
                  <w:noWrap w:val="0"/>
                  <w:vAlign w:val="center"/>
                </w:tcPr>
                <w:p w14:paraId="73FE3995">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食品级液态一氧化二氮</w:t>
                  </w:r>
                </w:p>
              </w:tc>
              <w:tc>
                <w:tcPr>
                  <w:tcW w:w="726" w:type="pct"/>
                  <w:tcBorders>
                    <w:tl2br w:val="nil"/>
                    <w:tr2bl w:val="nil"/>
                  </w:tcBorders>
                  <w:noWrap w:val="0"/>
                  <w:vAlign w:val="center"/>
                </w:tcPr>
                <w:p w14:paraId="382932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u w:val="none" w:color="auto"/>
                      <w:shd w:val="clear" w:fill="FFFFFF"/>
                      <w:lang w:val="en-US" w:eastAsia="zh-CN"/>
                    </w:rPr>
                  </w:pPr>
                  <w:r>
                    <w:rPr>
                      <w:rStyle w:val="27"/>
                      <w:rFonts w:hint="default" w:ascii="Times New Roman" w:hAnsi="Times New Roman" w:eastAsia="宋体" w:cs="Times New Roman"/>
                      <w:b w:val="0"/>
                      <w:bCs w:val="0"/>
                      <w:i w:val="0"/>
                      <w:iCs w:val="0"/>
                      <w:caps w:val="0"/>
                      <w:color w:val="333333"/>
                      <w:spacing w:val="0"/>
                      <w:sz w:val="21"/>
                      <w:szCs w:val="21"/>
                      <w:u w:val="none" w:color="auto"/>
                      <w:shd w:val="clear" w:fill="FFFFFF"/>
                      <w:lang w:val="en-US" w:eastAsia="zh-CN"/>
                    </w:rPr>
                    <w:t>1.</w:t>
                  </w:r>
                  <w:r>
                    <w:rPr>
                      <w:rStyle w:val="27"/>
                      <w:rFonts w:hint="eastAsia" w:cs="Times New Roman"/>
                      <w:b w:val="0"/>
                      <w:bCs w:val="0"/>
                      <w:i w:val="0"/>
                      <w:iCs w:val="0"/>
                      <w:caps w:val="0"/>
                      <w:color w:val="333333"/>
                      <w:spacing w:val="0"/>
                      <w:sz w:val="21"/>
                      <w:szCs w:val="21"/>
                      <w:u w:val="none" w:color="auto"/>
                      <w:shd w:val="clear" w:fill="FFFFFF"/>
                      <w:lang w:val="en-US" w:eastAsia="zh-CN"/>
                    </w:rPr>
                    <w:t>14</w:t>
                  </w:r>
                  <w:r>
                    <w:rPr>
                      <w:rStyle w:val="27"/>
                      <w:rFonts w:hint="default" w:ascii="Times New Roman" w:hAnsi="Times New Roman" w:eastAsia="宋体" w:cs="Times New Roman"/>
                      <w:b w:val="0"/>
                      <w:bCs w:val="0"/>
                      <w:i w:val="0"/>
                      <w:iCs w:val="0"/>
                      <w:caps w:val="0"/>
                      <w:color w:val="333333"/>
                      <w:spacing w:val="0"/>
                      <w:sz w:val="21"/>
                      <w:szCs w:val="21"/>
                      <w:u w:val="none" w:color="auto"/>
                      <w:shd w:val="clear" w:fill="FFFFFF"/>
                      <w:lang w:val="en-US" w:eastAsia="zh-CN"/>
                    </w:rPr>
                    <w:t>kg/L</w:t>
                  </w:r>
                </w:p>
              </w:tc>
              <w:tc>
                <w:tcPr>
                  <w:tcW w:w="768" w:type="pct"/>
                  <w:tcBorders>
                    <w:tl2br w:val="nil"/>
                    <w:tr2bl w:val="nil"/>
                  </w:tcBorders>
                  <w:noWrap w:val="0"/>
                  <w:vAlign w:val="center"/>
                </w:tcPr>
                <w:p w14:paraId="096997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lang w:val="en-US" w:eastAsia="zh-CN"/>
                    </w:rPr>
                  </w:pP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≥97</w:t>
                  </w:r>
                </w:p>
              </w:tc>
              <w:tc>
                <w:tcPr>
                  <w:tcW w:w="747" w:type="pct"/>
                  <w:tcBorders>
                    <w:tl2br w:val="nil"/>
                    <w:tr2bl w:val="nil"/>
                  </w:tcBorders>
                  <w:noWrap w:val="0"/>
                  <w:vAlign w:val="center"/>
                </w:tcPr>
                <w:p w14:paraId="682EBC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color="auto"/>
                      <w:lang w:val="en-US"/>
                    </w:rPr>
                  </w:pPr>
                  <w:r>
                    <w:rPr>
                      <w:rStyle w:val="47"/>
                      <w:rFonts w:hint="default" w:ascii="Times New Roman" w:hAnsi="Times New Roman" w:cs="Times New Roman"/>
                      <w:b w:val="0"/>
                      <w:bCs w:val="0"/>
                      <w:color w:val="auto"/>
                      <w:sz w:val="21"/>
                      <w:szCs w:val="21"/>
                      <w:highlight w:val="none"/>
                      <w:u w:val="none" w:color="auto"/>
                      <w:lang w:val="en-US"/>
                    </w:rPr>
                    <w:t>9900.6</w:t>
                  </w:r>
                </w:p>
              </w:tc>
              <w:tc>
                <w:tcPr>
                  <w:tcW w:w="675" w:type="pct"/>
                  <w:tcBorders>
                    <w:tl2br w:val="nil"/>
                    <w:tr2bl w:val="nil"/>
                  </w:tcBorders>
                  <w:noWrap w:val="0"/>
                  <w:vAlign w:val="center"/>
                </w:tcPr>
                <w:p w14:paraId="7460F980">
                  <w:pPr>
                    <w:jc w:val="center"/>
                    <w:rPr>
                      <w:rStyle w:val="47"/>
                      <w:rFonts w:hint="default" w:ascii="Times New Roman" w:hAnsi="Times New Roman" w:eastAsia="宋体" w:cs="Times New Roman"/>
                      <w:b w:val="0"/>
                      <w:bCs w:val="0"/>
                      <w:color w:val="auto"/>
                      <w:sz w:val="21"/>
                      <w:szCs w:val="21"/>
                      <w:u w:val="none" w:color="auto"/>
                      <w:lang w:val="en-US"/>
                    </w:rPr>
                  </w:pPr>
                  <w:r>
                    <w:rPr>
                      <w:rStyle w:val="47"/>
                      <w:rFonts w:hint="eastAsia" w:ascii="Times New Roman" w:hAnsi="Times New Roman" w:eastAsia="宋体" w:cs="Times New Roman"/>
                      <w:b w:val="0"/>
                      <w:bCs w:val="0"/>
                      <w:color w:val="auto"/>
                      <w:sz w:val="21"/>
                      <w:szCs w:val="21"/>
                      <w:u w:val="none" w:color="auto"/>
                      <w:lang w:val="en-US"/>
                    </w:rPr>
                    <w:t>30.8</w:t>
                  </w:r>
                </w:p>
              </w:tc>
              <w:tc>
                <w:tcPr>
                  <w:tcW w:w="672" w:type="pct"/>
                  <w:gridSpan w:val="2"/>
                  <w:tcBorders>
                    <w:tl2br w:val="nil"/>
                    <w:tr2bl w:val="nil"/>
                  </w:tcBorders>
                  <w:noWrap w:val="0"/>
                  <w:vAlign w:val="center"/>
                </w:tcPr>
                <w:p w14:paraId="31EF3DBA">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cs="Times New Roman"/>
                      <w:b w:val="0"/>
                      <w:bCs w:val="0"/>
                      <w:sz w:val="21"/>
                      <w:szCs w:val="21"/>
                      <w:u w:val="none" w:color="auto"/>
                      <w:lang w:val="en-US" w:eastAsia="zh-CN"/>
                    </w:rPr>
                    <w:t>30m</w:t>
                  </w:r>
                  <w:r>
                    <w:rPr>
                      <w:rFonts w:hint="default" w:ascii="Times New Roman" w:hAnsi="Times New Roman" w:cs="Times New Roman"/>
                      <w:b w:val="0"/>
                      <w:bCs w:val="0"/>
                      <w:sz w:val="21"/>
                      <w:szCs w:val="21"/>
                      <w:u w:val="none" w:color="auto"/>
                      <w:vertAlign w:val="superscript"/>
                      <w:lang w:val="en-US" w:eastAsia="zh-CN"/>
                    </w:rPr>
                    <w:t>3</w:t>
                  </w:r>
                  <w:r>
                    <w:rPr>
                      <w:rFonts w:hint="default" w:ascii="Times New Roman" w:hAnsi="Times New Roman" w:cs="Times New Roman"/>
                      <w:b w:val="0"/>
                      <w:bCs w:val="0"/>
                      <w:sz w:val="21"/>
                      <w:szCs w:val="21"/>
                      <w:u w:val="none" w:color="auto"/>
                      <w:lang w:val="en-US" w:eastAsia="zh-CN"/>
                    </w:rPr>
                    <w:t>×1</w:t>
                  </w:r>
                </w:p>
              </w:tc>
            </w:tr>
            <w:tr w14:paraId="3D4A8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1" w:type="pct"/>
                  <w:tcBorders>
                    <w:tl2br w:val="nil"/>
                    <w:tr2bl w:val="nil"/>
                  </w:tcBorders>
                  <w:noWrap w:val="0"/>
                  <w:vAlign w:val="center"/>
                </w:tcPr>
                <w:p w14:paraId="777448FF">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2</w:t>
                  </w:r>
                </w:p>
              </w:tc>
              <w:tc>
                <w:tcPr>
                  <w:tcW w:w="1129" w:type="pct"/>
                  <w:tcBorders>
                    <w:tl2br w:val="nil"/>
                    <w:tr2bl w:val="nil"/>
                  </w:tcBorders>
                  <w:noWrap w:val="0"/>
                  <w:vAlign w:val="center"/>
                </w:tcPr>
                <w:p w14:paraId="56C80931">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食品级液态氮气</w:t>
                  </w:r>
                </w:p>
              </w:tc>
              <w:tc>
                <w:tcPr>
                  <w:tcW w:w="726" w:type="pct"/>
                  <w:tcBorders>
                    <w:tl2br w:val="nil"/>
                    <w:tr2bl w:val="nil"/>
                  </w:tcBorders>
                  <w:noWrap w:val="0"/>
                  <w:vAlign w:val="center"/>
                </w:tcPr>
                <w:p w14:paraId="001933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pP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0.808kg/L</w:t>
                  </w:r>
                </w:p>
              </w:tc>
              <w:tc>
                <w:tcPr>
                  <w:tcW w:w="768" w:type="pct"/>
                  <w:tcBorders>
                    <w:tl2br w:val="nil"/>
                    <w:tr2bl w:val="nil"/>
                  </w:tcBorders>
                  <w:noWrap w:val="0"/>
                  <w:vAlign w:val="center"/>
                </w:tcPr>
                <w:p w14:paraId="37A27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u w:val="none" w:color="auto"/>
                    </w:rPr>
                  </w:pP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≥99.9</w:t>
                  </w:r>
                </w:p>
              </w:tc>
              <w:tc>
                <w:tcPr>
                  <w:tcW w:w="747" w:type="pct"/>
                  <w:tcBorders>
                    <w:tl2br w:val="nil"/>
                    <w:tr2bl w:val="nil"/>
                  </w:tcBorders>
                  <w:noWrap w:val="0"/>
                  <w:vAlign w:val="center"/>
                </w:tcPr>
                <w:p w14:paraId="3AC595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47"/>
                      <w:rFonts w:hint="default" w:ascii="Times New Roman" w:hAnsi="Times New Roman" w:eastAsia="宋体" w:cs="Times New Roman"/>
                      <w:b w:val="0"/>
                      <w:bCs w:val="0"/>
                      <w:color w:val="auto"/>
                      <w:sz w:val="21"/>
                      <w:szCs w:val="21"/>
                      <w:highlight w:val="none"/>
                      <w:u w:val="none" w:color="auto"/>
                      <w:lang w:val="en-US"/>
                    </w:rPr>
                  </w:pPr>
                  <w:r>
                    <w:rPr>
                      <w:rStyle w:val="47"/>
                      <w:rFonts w:hint="default" w:ascii="Times New Roman" w:hAnsi="Times New Roman" w:cs="Times New Roman"/>
                      <w:b w:val="0"/>
                      <w:bCs w:val="0"/>
                      <w:color w:val="auto"/>
                      <w:sz w:val="21"/>
                      <w:szCs w:val="21"/>
                      <w:highlight w:val="none"/>
                      <w:u w:val="none" w:color="auto"/>
                      <w:lang w:val="en-US"/>
                    </w:rPr>
                    <w:t>215</w:t>
                  </w:r>
                </w:p>
              </w:tc>
              <w:tc>
                <w:tcPr>
                  <w:tcW w:w="675" w:type="pct"/>
                  <w:tcBorders>
                    <w:tl2br w:val="nil"/>
                    <w:tr2bl w:val="nil"/>
                  </w:tcBorders>
                  <w:noWrap w:val="0"/>
                  <w:vAlign w:val="center"/>
                </w:tcPr>
                <w:p w14:paraId="05DFCCD2">
                  <w:pPr>
                    <w:jc w:val="center"/>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21.82</w:t>
                  </w:r>
                </w:p>
              </w:tc>
              <w:tc>
                <w:tcPr>
                  <w:tcW w:w="672" w:type="pct"/>
                  <w:gridSpan w:val="2"/>
                  <w:tcBorders>
                    <w:tl2br w:val="nil"/>
                    <w:tr2bl w:val="nil"/>
                  </w:tcBorders>
                  <w:noWrap w:val="0"/>
                  <w:vAlign w:val="center"/>
                </w:tcPr>
                <w:p w14:paraId="0F4E3DC4">
                  <w:pPr>
                    <w:jc w:val="center"/>
                    <w:rPr>
                      <w:rFonts w:hint="default" w:ascii="Times New Roman" w:hAnsi="Times New Roman" w:cs="Times New Roman"/>
                      <w:b w:val="0"/>
                      <w:bCs w:val="0"/>
                      <w:sz w:val="21"/>
                      <w:szCs w:val="21"/>
                      <w:u w:val="none" w:color="auto"/>
                      <w:lang w:val="en-US" w:eastAsia="zh-CN"/>
                    </w:rPr>
                  </w:pPr>
                  <w:r>
                    <w:rPr>
                      <w:rFonts w:hint="default" w:ascii="Times New Roman" w:hAnsi="Times New Roman" w:cs="Times New Roman"/>
                      <w:b w:val="0"/>
                      <w:bCs w:val="0"/>
                      <w:sz w:val="21"/>
                      <w:szCs w:val="21"/>
                      <w:u w:val="none" w:color="auto"/>
                      <w:lang w:val="en-US" w:eastAsia="zh-CN"/>
                    </w:rPr>
                    <w:t>30m</w:t>
                  </w:r>
                  <w:r>
                    <w:rPr>
                      <w:rFonts w:hint="default" w:ascii="Times New Roman" w:hAnsi="Times New Roman" w:cs="Times New Roman"/>
                      <w:b w:val="0"/>
                      <w:bCs w:val="0"/>
                      <w:sz w:val="21"/>
                      <w:szCs w:val="21"/>
                      <w:u w:val="none" w:color="auto"/>
                      <w:vertAlign w:val="superscript"/>
                      <w:lang w:val="en-US" w:eastAsia="zh-CN"/>
                    </w:rPr>
                    <w:t>3</w:t>
                  </w:r>
                  <w:r>
                    <w:rPr>
                      <w:rFonts w:hint="default" w:ascii="Times New Roman" w:hAnsi="Times New Roman" w:cs="Times New Roman"/>
                      <w:b w:val="0"/>
                      <w:bCs w:val="0"/>
                      <w:sz w:val="21"/>
                      <w:szCs w:val="21"/>
                      <w:u w:val="none" w:color="auto"/>
                      <w:lang w:val="en-US" w:eastAsia="zh-CN"/>
                    </w:rPr>
                    <w:t>×1</w:t>
                  </w:r>
                </w:p>
              </w:tc>
            </w:tr>
            <w:tr w14:paraId="44D8A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1" w:type="pct"/>
                  <w:tcBorders>
                    <w:tl2br w:val="nil"/>
                    <w:tr2bl w:val="nil"/>
                  </w:tcBorders>
                  <w:noWrap w:val="0"/>
                  <w:vAlign w:val="center"/>
                </w:tcPr>
                <w:p w14:paraId="54AED9F8">
                  <w:pPr>
                    <w:jc w:val="center"/>
                    <w:rPr>
                      <w:rFonts w:hint="default" w:ascii="Times New Roman" w:hAnsi="Times New Roman" w:eastAsia="宋体" w:cs="Times New Roman"/>
                      <w:b w:val="0"/>
                      <w:bCs w:val="0"/>
                      <w:sz w:val="21"/>
                      <w:szCs w:val="21"/>
                      <w:u w:val="none" w:color="auto"/>
                      <w:lang w:eastAsia="zh-CN"/>
                    </w:rPr>
                  </w:pPr>
                  <w:r>
                    <w:rPr>
                      <w:rFonts w:hint="default" w:ascii="Times New Roman" w:hAnsi="Times New Roman" w:eastAsia="宋体" w:cs="Times New Roman"/>
                      <w:b w:val="0"/>
                      <w:bCs w:val="0"/>
                      <w:sz w:val="21"/>
                      <w:szCs w:val="21"/>
                      <w:u w:val="none" w:color="auto"/>
                      <w:lang w:val="en-US" w:eastAsia="zh-CN"/>
                    </w:rPr>
                    <w:t>3</w:t>
                  </w:r>
                </w:p>
              </w:tc>
              <w:tc>
                <w:tcPr>
                  <w:tcW w:w="1129" w:type="pct"/>
                  <w:tcBorders>
                    <w:tl2br w:val="nil"/>
                    <w:tr2bl w:val="nil"/>
                  </w:tcBorders>
                  <w:noWrap w:val="0"/>
                  <w:vAlign w:val="center"/>
                </w:tcPr>
                <w:p w14:paraId="4AF8D47A">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食品级液态二氧化碳</w:t>
                  </w:r>
                </w:p>
              </w:tc>
              <w:tc>
                <w:tcPr>
                  <w:tcW w:w="726" w:type="pct"/>
                  <w:tcBorders>
                    <w:tl2br w:val="nil"/>
                    <w:tr2bl w:val="nil"/>
                  </w:tcBorders>
                  <w:noWrap w:val="0"/>
                  <w:vAlign w:val="center"/>
                </w:tcPr>
                <w:p w14:paraId="0E4D2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u w:val="none" w:color="auto"/>
                      <w:shd w:val="clear" w:fill="FFFFFF"/>
                      <w:lang w:val="en-US" w:eastAsia="zh-CN"/>
                    </w:rPr>
                  </w:pP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1.101kg/L</w:t>
                  </w:r>
                </w:p>
              </w:tc>
              <w:tc>
                <w:tcPr>
                  <w:tcW w:w="768" w:type="pct"/>
                  <w:tcBorders>
                    <w:tl2br w:val="nil"/>
                    <w:tr2bl w:val="nil"/>
                  </w:tcBorders>
                  <w:noWrap w:val="0"/>
                  <w:vAlign w:val="center"/>
                </w:tcPr>
                <w:p w14:paraId="14B7AD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lang w:val="en-US" w:eastAsia="zh-CN"/>
                    </w:rPr>
                  </w:pPr>
                  <w:r>
                    <w:rPr>
                      <w:rStyle w:val="27"/>
                      <w:rFonts w:hint="default" w:ascii="Times New Roman" w:hAnsi="Times New Roman" w:eastAsia="Arial" w:cs="Times New Roman"/>
                      <w:b w:val="0"/>
                      <w:bCs w:val="0"/>
                      <w:i w:val="0"/>
                      <w:iCs w:val="0"/>
                      <w:caps w:val="0"/>
                      <w:color w:val="333333"/>
                      <w:spacing w:val="0"/>
                      <w:sz w:val="21"/>
                      <w:szCs w:val="21"/>
                      <w:u w:val="none" w:color="auto"/>
                      <w:shd w:val="clear" w:fill="FFFFFF"/>
                    </w:rPr>
                    <w:t>≥99.9</w:t>
                  </w:r>
                </w:p>
              </w:tc>
              <w:tc>
                <w:tcPr>
                  <w:tcW w:w="747" w:type="pct"/>
                  <w:tcBorders>
                    <w:tl2br w:val="nil"/>
                    <w:tr2bl w:val="nil"/>
                  </w:tcBorders>
                  <w:noWrap w:val="0"/>
                  <w:vAlign w:val="center"/>
                </w:tcPr>
                <w:p w14:paraId="0B5B76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cs="Times New Roman"/>
                      <w:b w:val="0"/>
                      <w:bCs w:val="0"/>
                      <w:color w:val="auto"/>
                      <w:sz w:val="21"/>
                      <w:szCs w:val="21"/>
                      <w:highlight w:val="none"/>
                      <w:u w:val="none" w:color="auto"/>
                      <w:lang w:val="en-US" w:eastAsia="zh-CN"/>
                    </w:rPr>
                    <w:t>660</w:t>
                  </w:r>
                </w:p>
              </w:tc>
              <w:tc>
                <w:tcPr>
                  <w:tcW w:w="675" w:type="pct"/>
                  <w:tcBorders>
                    <w:tl2br w:val="nil"/>
                    <w:tr2bl w:val="nil"/>
                  </w:tcBorders>
                  <w:noWrap w:val="0"/>
                  <w:vAlign w:val="center"/>
                </w:tcPr>
                <w:p w14:paraId="0A78069C">
                  <w:pPr>
                    <w:jc w:val="center"/>
                    <w:rPr>
                      <w:rStyle w:val="47"/>
                      <w:rFonts w:hint="default" w:ascii="Times New Roman" w:hAnsi="Times New Roman" w:eastAsia="宋体" w:cs="Times New Roman"/>
                      <w:b w:val="0"/>
                      <w:bCs w:val="0"/>
                      <w:color w:val="auto"/>
                      <w:sz w:val="21"/>
                      <w:szCs w:val="21"/>
                      <w:u w:val="none" w:color="auto"/>
                      <w:lang w:val="en-US"/>
                    </w:rPr>
                  </w:pPr>
                  <w:r>
                    <w:rPr>
                      <w:rStyle w:val="47"/>
                      <w:rFonts w:hint="default" w:ascii="Times New Roman" w:hAnsi="Times New Roman" w:eastAsia="宋体" w:cs="Times New Roman"/>
                      <w:b w:val="0"/>
                      <w:bCs w:val="0"/>
                      <w:color w:val="auto"/>
                      <w:sz w:val="21"/>
                      <w:szCs w:val="21"/>
                      <w:u w:val="none" w:color="auto"/>
                      <w:lang w:val="en-US"/>
                    </w:rPr>
                    <w:t>29.73</w:t>
                  </w:r>
                </w:p>
              </w:tc>
              <w:tc>
                <w:tcPr>
                  <w:tcW w:w="672" w:type="pct"/>
                  <w:gridSpan w:val="2"/>
                  <w:tcBorders>
                    <w:tl2br w:val="nil"/>
                    <w:tr2bl w:val="nil"/>
                  </w:tcBorders>
                  <w:noWrap w:val="0"/>
                  <w:vAlign w:val="center"/>
                </w:tcPr>
                <w:p w14:paraId="6753013B">
                  <w:pPr>
                    <w:jc w:val="center"/>
                    <w:rPr>
                      <w:rFonts w:hint="default" w:ascii="Times New Roman" w:hAnsi="Times New Roman" w:cs="Times New Roman"/>
                      <w:b w:val="0"/>
                      <w:bCs w:val="0"/>
                      <w:sz w:val="21"/>
                      <w:szCs w:val="21"/>
                      <w:u w:val="none" w:color="auto"/>
                    </w:rPr>
                  </w:pPr>
                  <w:r>
                    <w:rPr>
                      <w:rFonts w:hint="default" w:ascii="Times New Roman" w:hAnsi="Times New Roman" w:cs="Times New Roman"/>
                      <w:b w:val="0"/>
                      <w:bCs w:val="0"/>
                      <w:sz w:val="21"/>
                      <w:szCs w:val="21"/>
                      <w:u w:val="none" w:color="auto"/>
                      <w:lang w:val="en-US" w:eastAsia="zh-CN"/>
                    </w:rPr>
                    <w:t>30m</w:t>
                  </w:r>
                  <w:r>
                    <w:rPr>
                      <w:rFonts w:hint="default" w:ascii="Times New Roman" w:hAnsi="Times New Roman" w:cs="Times New Roman"/>
                      <w:b w:val="0"/>
                      <w:bCs w:val="0"/>
                      <w:sz w:val="21"/>
                      <w:szCs w:val="21"/>
                      <w:u w:val="none" w:color="auto"/>
                      <w:vertAlign w:val="superscript"/>
                      <w:lang w:val="en-US" w:eastAsia="zh-CN"/>
                    </w:rPr>
                    <w:t>3</w:t>
                  </w:r>
                  <w:r>
                    <w:rPr>
                      <w:rFonts w:hint="default" w:ascii="Times New Roman" w:hAnsi="Times New Roman" w:cs="Times New Roman"/>
                      <w:b w:val="0"/>
                      <w:bCs w:val="0"/>
                      <w:sz w:val="21"/>
                      <w:szCs w:val="21"/>
                      <w:u w:val="none" w:color="auto"/>
                      <w:lang w:val="en-US" w:eastAsia="zh-CN"/>
                    </w:rPr>
                    <w:t>×1</w:t>
                  </w:r>
                </w:p>
              </w:tc>
            </w:tr>
            <w:tr w14:paraId="020CF9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90" w:hRule="atLeast"/>
                <w:jc w:val="center"/>
              </w:trPr>
              <w:tc>
                <w:tcPr>
                  <w:tcW w:w="281" w:type="pct"/>
                  <w:tcBorders>
                    <w:tl2br w:val="nil"/>
                    <w:tr2bl w:val="nil"/>
                  </w:tcBorders>
                  <w:noWrap w:val="0"/>
                  <w:vAlign w:val="center"/>
                </w:tcPr>
                <w:p w14:paraId="2C4654A6">
                  <w:pPr>
                    <w:jc w:val="center"/>
                    <w:rPr>
                      <w:rFonts w:hint="default" w:ascii="Times New Roman" w:hAnsi="Times New Roman" w:eastAsia="宋体" w:cs="Times New Roman"/>
                      <w:b w:val="0"/>
                      <w:bCs w:val="0"/>
                      <w:sz w:val="21"/>
                      <w:szCs w:val="21"/>
                      <w:u w:val="none" w:color="auto"/>
                      <w:lang w:eastAsia="zh-CN"/>
                    </w:rPr>
                  </w:pPr>
                  <w:r>
                    <w:rPr>
                      <w:rFonts w:hint="eastAsia" w:cs="Times New Roman"/>
                      <w:b w:val="0"/>
                      <w:bCs w:val="0"/>
                      <w:sz w:val="21"/>
                      <w:szCs w:val="21"/>
                      <w:u w:val="none" w:color="auto"/>
                      <w:lang w:val="en-US" w:eastAsia="zh-CN"/>
                    </w:rPr>
                    <w:t>4</w:t>
                  </w:r>
                </w:p>
              </w:tc>
              <w:tc>
                <w:tcPr>
                  <w:tcW w:w="1129" w:type="pct"/>
                  <w:tcBorders>
                    <w:tl2br w:val="nil"/>
                    <w:tr2bl w:val="nil"/>
                  </w:tcBorders>
                  <w:noWrap w:val="0"/>
                  <w:vAlign w:val="center"/>
                </w:tcPr>
                <w:p w14:paraId="784A4C87">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水</w:t>
                  </w:r>
                </w:p>
              </w:tc>
              <w:tc>
                <w:tcPr>
                  <w:tcW w:w="726" w:type="pct"/>
                  <w:tcBorders>
                    <w:tl2br w:val="nil"/>
                    <w:tr2bl w:val="nil"/>
                  </w:tcBorders>
                  <w:noWrap w:val="0"/>
                  <w:vAlign w:val="center"/>
                </w:tcPr>
                <w:p w14:paraId="4CDBB625">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768" w:type="pct"/>
                  <w:tcBorders>
                    <w:tl2br w:val="nil"/>
                    <w:tr2bl w:val="nil"/>
                  </w:tcBorders>
                  <w:noWrap w:val="0"/>
                  <w:vAlign w:val="center"/>
                </w:tcPr>
                <w:p w14:paraId="77A93B40">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747" w:type="pct"/>
                  <w:tcBorders>
                    <w:tl2br w:val="nil"/>
                    <w:tr2bl w:val="nil"/>
                  </w:tcBorders>
                  <w:noWrap w:val="0"/>
                  <w:vAlign w:val="center"/>
                </w:tcPr>
                <w:p w14:paraId="22500E74">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eastAsia="zh-CN"/>
                    </w:rPr>
                    <w:t>300</w:t>
                  </w:r>
                </w:p>
              </w:tc>
              <w:tc>
                <w:tcPr>
                  <w:tcW w:w="675" w:type="pct"/>
                  <w:tcBorders>
                    <w:tl2br w:val="nil"/>
                    <w:tr2bl w:val="nil"/>
                  </w:tcBorders>
                  <w:noWrap w:val="0"/>
                  <w:vAlign w:val="center"/>
                </w:tcPr>
                <w:p w14:paraId="08FBB30F">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666" w:type="pct"/>
                  <w:tcBorders>
                    <w:tl2br w:val="nil"/>
                    <w:tr2bl w:val="nil"/>
                  </w:tcBorders>
                  <w:noWrap w:val="0"/>
                  <w:vAlign w:val="center"/>
                </w:tcPr>
                <w:p w14:paraId="34871AF6">
                  <w:pPr>
                    <w:jc w:val="center"/>
                    <w:rPr>
                      <w:rFonts w:hint="default" w:ascii="Times New Roman" w:hAnsi="Times New Roman" w:eastAsia="宋体" w:cs="Times New Roman"/>
                      <w:b w:val="0"/>
                      <w:bCs w:val="0"/>
                      <w:sz w:val="21"/>
                      <w:szCs w:val="21"/>
                      <w:highlight w:val="none"/>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r>
            <w:tr w14:paraId="146FD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90" w:hRule="atLeast"/>
                <w:jc w:val="center"/>
              </w:trPr>
              <w:tc>
                <w:tcPr>
                  <w:tcW w:w="281" w:type="pct"/>
                  <w:tcBorders>
                    <w:tl2br w:val="nil"/>
                    <w:tr2bl w:val="nil"/>
                  </w:tcBorders>
                  <w:noWrap w:val="0"/>
                  <w:vAlign w:val="center"/>
                </w:tcPr>
                <w:p w14:paraId="3819F5C2">
                  <w:pPr>
                    <w:jc w:val="center"/>
                    <w:rPr>
                      <w:rFonts w:hint="default" w:ascii="Times New Roman" w:hAnsi="Times New Roman" w:eastAsia="宋体" w:cs="Times New Roman"/>
                      <w:b w:val="0"/>
                      <w:bCs w:val="0"/>
                      <w:sz w:val="21"/>
                      <w:szCs w:val="21"/>
                      <w:u w:val="none" w:color="auto"/>
                      <w:lang w:val="en-US" w:eastAsia="zh-CN"/>
                    </w:rPr>
                  </w:pPr>
                  <w:r>
                    <w:rPr>
                      <w:rFonts w:hint="eastAsia" w:cs="Times New Roman"/>
                      <w:b w:val="0"/>
                      <w:bCs w:val="0"/>
                      <w:sz w:val="21"/>
                      <w:szCs w:val="21"/>
                      <w:u w:val="none" w:color="auto"/>
                      <w:lang w:val="en-US" w:eastAsia="zh-CN"/>
                    </w:rPr>
                    <w:t>5</w:t>
                  </w:r>
                </w:p>
              </w:tc>
              <w:tc>
                <w:tcPr>
                  <w:tcW w:w="1129" w:type="pct"/>
                  <w:tcBorders>
                    <w:tl2br w:val="nil"/>
                    <w:tr2bl w:val="nil"/>
                  </w:tcBorders>
                  <w:noWrap w:val="0"/>
                  <w:vAlign w:val="center"/>
                </w:tcPr>
                <w:p w14:paraId="64C4208A">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电</w:t>
                  </w:r>
                </w:p>
              </w:tc>
              <w:tc>
                <w:tcPr>
                  <w:tcW w:w="726" w:type="pct"/>
                  <w:tcBorders>
                    <w:tl2br w:val="nil"/>
                    <w:tr2bl w:val="nil"/>
                  </w:tcBorders>
                  <w:noWrap w:val="0"/>
                  <w:vAlign w:val="center"/>
                </w:tcPr>
                <w:p w14:paraId="39BCEEC4">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768" w:type="pct"/>
                  <w:tcBorders>
                    <w:tl2br w:val="nil"/>
                    <w:tr2bl w:val="nil"/>
                  </w:tcBorders>
                  <w:noWrap w:val="0"/>
                  <w:vAlign w:val="center"/>
                </w:tcPr>
                <w:p w14:paraId="16C241BD">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747" w:type="pct"/>
                  <w:tcBorders>
                    <w:tl2br w:val="nil"/>
                    <w:tr2bl w:val="nil"/>
                  </w:tcBorders>
                  <w:noWrap w:val="0"/>
                  <w:vAlign w:val="center"/>
                </w:tcPr>
                <w:p w14:paraId="77BE9FE9">
                  <w:pPr>
                    <w:jc w:val="center"/>
                    <w:rPr>
                      <w:rFonts w:hint="default" w:ascii="Times New Roman" w:hAnsi="Times New Roman" w:eastAsia="宋体" w:cs="Times New Roman"/>
                      <w:b w:val="0"/>
                      <w:bCs w:val="0"/>
                      <w:sz w:val="21"/>
                      <w:szCs w:val="21"/>
                      <w:u w:val="none" w:color="auto"/>
                      <w:lang w:val="en-US" w:eastAsia="zh-CN"/>
                    </w:rPr>
                  </w:pPr>
                  <w:r>
                    <w:rPr>
                      <w:rFonts w:hint="default" w:ascii="Times New Roman" w:hAnsi="Times New Roman" w:eastAsia="宋体" w:cs="Times New Roman"/>
                      <w:b w:val="0"/>
                      <w:bCs w:val="0"/>
                      <w:sz w:val="21"/>
                      <w:szCs w:val="21"/>
                      <w:u w:val="none" w:color="auto"/>
                      <w:lang w:val="en-US" w:eastAsia="zh-CN"/>
                    </w:rPr>
                    <w:t>10万</w:t>
                  </w:r>
                  <w:r>
                    <w:rPr>
                      <w:rFonts w:hint="default" w:ascii="Times New Roman" w:hAnsi="Times New Roman" w:eastAsia="宋体" w:cs="Times New Roman"/>
                      <w:b w:val="0"/>
                      <w:bCs w:val="0"/>
                      <w:sz w:val="21"/>
                      <w:szCs w:val="21"/>
                      <w:u w:val="none" w:color="auto"/>
                    </w:rPr>
                    <w:t>kWh/a</w:t>
                  </w:r>
                </w:p>
              </w:tc>
              <w:tc>
                <w:tcPr>
                  <w:tcW w:w="675" w:type="pct"/>
                  <w:tcBorders>
                    <w:tl2br w:val="nil"/>
                    <w:tr2bl w:val="nil"/>
                  </w:tcBorders>
                  <w:noWrap w:val="0"/>
                  <w:vAlign w:val="center"/>
                </w:tcPr>
                <w:p w14:paraId="542EE98F">
                  <w:pPr>
                    <w:jc w:val="center"/>
                    <w:rPr>
                      <w:rFonts w:hint="default" w:ascii="Times New Roman" w:hAnsi="Times New Roman" w:eastAsia="宋体" w:cs="Times New Roman"/>
                      <w:b w:val="0"/>
                      <w:bCs w:val="0"/>
                      <w:sz w:val="21"/>
                      <w:szCs w:val="21"/>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c>
                <w:tcPr>
                  <w:tcW w:w="666" w:type="pct"/>
                  <w:tcBorders>
                    <w:tl2br w:val="nil"/>
                    <w:tr2bl w:val="nil"/>
                  </w:tcBorders>
                  <w:noWrap w:val="0"/>
                  <w:vAlign w:val="center"/>
                </w:tcPr>
                <w:p w14:paraId="6BFAC64C">
                  <w:pPr>
                    <w:jc w:val="center"/>
                    <w:rPr>
                      <w:rFonts w:hint="default" w:ascii="Times New Roman" w:hAnsi="Times New Roman" w:cs="Times New Roman"/>
                      <w:b w:val="0"/>
                      <w:bCs w:val="0"/>
                      <w:sz w:val="21"/>
                      <w:szCs w:val="21"/>
                      <w:highlight w:val="none"/>
                      <w:u w:val="none" w:color="auto"/>
                      <w:lang w:val="en-US" w:eastAsia="zh-CN"/>
                    </w:rPr>
                  </w:pPr>
                  <w:r>
                    <w:rPr>
                      <w:rStyle w:val="47"/>
                      <w:rFonts w:hint="eastAsia" w:ascii="Times New Roman" w:hAnsi="Times New Roman" w:eastAsia="宋体" w:cs="Times New Roman"/>
                      <w:b w:val="0"/>
                      <w:bCs w:val="0"/>
                      <w:color w:val="auto"/>
                      <w:sz w:val="21"/>
                      <w:szCs w:val="21"/>
                      <w:u w:val="none" w:color="auto"/>
                      <w:lang w:val="en-US"/>
                    </w:rPr>
                    <w:t>/</w:t>
                  </w:r>
                </w:p>
              </w:tc>
            </w:tr>
          </w:tbl>
          <w:p w14:paraId="18350941">
            <w:pPr>
              <w:jc w:val="both"/>
              <w:rPr>
                <w:rFonts w:hint="default" w:ascii="Times New Roman" w:hAnsi="Times New Roman" w:eastAsia="宋体" w:cs="Times New Roman"/>
                <w:b w:val="0"/>
                <w:bCs w:val="0"/>
                <w:sz w:val="21"/>
                <w:szCs w:val="21"/>
                <w:u w:val="none" w:color="auto"/>
                <w:lang w:val="en-US" w:eastAsia="zh-CN"/>
              </w:rPr>
            </w:pPr>
            <w:r>
              <w:rPr>
                <w:rFonts w:hint="eastAsia" w:ascii="Times New Roman" w:hAnsi="Times New Roman" w:eastAsia="宋体" w:cs="Times New Roman"/>
                <w:b w:val="0"/>
                <w:bCs w:val="0"/>
                <w:sz w:val="21"/>
                <w:szCs w:val="21"/>
                <w:u w:val="none" w:color="auto"/>
                <w:lang w:val="en-US" w:eastAsia="zh-CN"/>
              </w:rPr>
              <w:t>注：储罐充装系数按0.9计。</w:t>
            </w:r>
          </w:p>
          <w:p w14:paraId="7C31B387">
            <w:pPr>
              <w:pStyle w:val="11"/>
              <w:bidi w:val="0"/>
              <w:rPr>
                <w:rFonts w:hint="eastAsia" w:cs="宋体" w:asciiTheme="minorHAnsi" w:hAnsiTheme="minorHAnsi" w:eastAsiaTheme="minorEastAsia"/>
                <w:b w:val="0"/>
                <w:color w:val="auto"/>
                <w:kern w:val="18"/>
                <w:sz w:val="24"/>
                <w:szCs w:val="20"/>
                <w:highlight w:val="none"/>
                <w:lang w:val="en-US" w:eastAsia="zh-CN" w:bidi="ar-SA"/>
              </w:rPr>
            </w:pPr>
            <w:r>
              <w:rPr>
                <w:rFonts w:hint="eastAsia" w:cs="宋体" w:asciiTheme="minorHAnsi" w:hAnsiTheme="minorHAnsi" w:eastAsiaTheme="minorEastAsia"/>
                <w:b w:val="0"/>
                <w:color w:val="auto"/>
                <w:kern w:val="18"/>
                <w:sz w:val="24"/>
                <w:szCs w:val="20"/>
                <w:highlight w:val="none"/>
                <w:lang w:val="en-US" w:eastAsia="zh-CN" w:bidi="ar-SA"/>
              </w:rPr>
              <w:t>本项目主要原辅料理化性质如下表所示。</w:t>
            </w:r>
          </w:p>
          <w:p w14:paraId="74601F76">
            <w:pPr>
              <w:jc w:val="center"/>
              <w:rPr>
                <w:rFonts w:hint="eastAsia" w:ascii="黑体" w:hAnsi="黑体" w:eastAsia="黑体" w:cs="黑体"/>
                <w:b w:val="0"/>
                <w:bCs/>
                <w:color w:val="auto"/>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表2-4主要原辅料理化性质一览表</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8"/>
              <w:gridCol w:w="6958"/>
            </w:tblGrid>
            <w:tr w14:paraId="66725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3" w:type="pct"/>
                  <w:tcBorders>
                    <w:tl2br w:val="nil"/>
                    <w:tr2bl w:val="nil"/>
                  </w:tcBorders>
                  <w:noWrap w:val="0"/>
                  <w:vAlign w:val="center"/>
                </w:tcPr>
                <w:p w14:paraId="61751A8E">
                  <w:pPr>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物料名称</w:t>
                  </w:r>
                </w:p>
              </w:tc>
              <w:tc>
                <w:tcPr>
                  <w:tcW w:w="4456" w:type="pct"/>
                  <w:tcBorders>
                    <w:tl2br w:val="nil"/>
                    <w:tr2bl w:val="nil"/>
                  </w:tcBorders>
                  <w:noWrap w:val="0"/>
                  <w:vAlign w:val="center"/>
                </w:tcPr>
                <w:p w14:paraId="4FC265D5">
                  <w:pPr>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理化性质</w:t>
                  </w:r>
                </w:p>
              </w:tc>
            </w:tr>
            <w:tr w14:paraId="6FDB6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3" w:type="pct"/>
                  <w:tcBorders>
                    <w:tl2br w:val="nil"/>
                    <w:tr2bl w:val="nil"/>
                  </w:tcBorders>
                  <w:noWrap w:val="0"/>
                  <w:vAlign w:val="center"/>
                </w:tcPr>
                <w:p w14:paraId="78CC4294">
                  <w:pPr>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液态一氧化二氮</w:t>
                  </w:r>
                </w:p>
              </w:tc>
              <w:tc>
                <w:tcPr>
                  <w:tcW w:w="4456" w:type="pct"/>
                  <w:tcBorders>
                    <w:tl2br w:val="nil"/>
                    <w:tr2bl w:val="nil"/>
                  </w:tcBorders>
                  <w:noWrap w:val="0"/>
                  <w:vAlign w:val="center"/>
                </w:tcPr>
                <w:p w14:paraId="7A286134">
                  <w:pPr>
                    <w:jc w:val="left"/>
                    <w:rPr>
                      <w:rFonts w:hint="eastAsia" w:ascii="Times New Roman" w:hAnsi="Times New Roman" w:eastAsia="宋体" w:cs="Times New Roman"/>
                      <w:b w:val="0"/>
                      <w:bCs w:val="0"/>
                      <w:sz w:val="21"/>
                      <w:szCs w:val="21"/>
                      <w:u w:val="no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rPr>
                    <w:t>液态一氧化二氮（N₂O）在-89℃、常压下为无色、有甜味的液体，密度为1.226kg/L</w:t>
                  </w:r>
                  <w:r>
                    <w:rPr>
                      <w:rFonts w:hint="default" w:ascii="Times New Roman" w:hAnsi="Times New Roman" w:eastAsia="宋体" w:cs="Times New Roman"/>
                      <w:b w:val="0"/>
                      <w:bCs w:val="0"/>
                      <w:sz w:val="21"/>
                      <w:szCs w:val="21"/>
                      <w:u w:val="none"/>
                      <w:lang w:val="en-US" w:eastAsia="zh-CN"/>
                    </w:rPr>
                    <w:t>，沸点</w:t>
                  </w:r>
                  <w:r>
                    <w:rPr>
                      <w:rFonts w:hint="default" w:ascii="Times New Roman" w:hAnsi="Times New Roman" w:eastAsia="宋体" w:cs="Times New Roman"/>
                      <w:b w:val="0"/>
                      <w:bCs w:val="0"/>
                      <w:i w:val="0"/>
                      <w:iCs w:val="0"/>
                      <w:caps w:val="0"/>
                      <w:color w:val="333333"/>
                      <w:spacing w:val="0"/>
                      <w:sz w:val="21"/>
                      <w:szCs w:val="21"/>
                      <w:shd w:val="clear" w:fill="FFFFFF"/>
                    </w:rPr>
                    <w:t>-89℃（1atm）</w:t>
                  </w:r>
                  <w:r>
                    <w:rPr>
                      <w:rFonts w:hint="default" w:ascii="Times New Roman" w:hAnsi="Times New Roman" w:eastAsia="宋体" w:cs="Times New Roman"/>
                      <w:b w:val="0"/>
                      <w:bCs w:val="0"/>
                      <w:sz w:val="21"/>
                      <w:szCs w:val="21"/>
                      <w:u w:val="none"/>
                      <w:lang w:val="en-US" w:eastAsia="zh-CN"/>
                    </w:rPr>
                    <w:t>, 临界压力</w:t>
                  </w:r>
                  <w:r>
                    <w:rPr>
                      <w:rFonts w:hint="default" w:ascii="Times New Roman" w:hAnsi="Times New Roman" w:eastAsia="宋体" w:cs="Times New Roman"/>
                      <w:b w:val="0"/>
                      <w:bCs w:val="0"/>
                      <w:i w:val="0"/>
                      <w:iCs w:val="0"/>
                      <w:caps w:val="0"/>
                      <w:color w:val="333333"/>
                      <w:spacing w:val="0"/>
                      <w:sz w:val="21"/>
                      <w:szCs w:val="21"/>
                      <w:shd w:val="clear" w:fill="FFFFFF"/>
                    </w:rPr>
                    <w:t>7.2MPa</w:t>
                  </w:r>
                  <w:r>
                    <w:rPr>
                      <w:rFonts w:hint="default" w:ascii="Times New Roman" w:hAnsi="Times New Roman" w:eastAsia="宋体" w:cs="Times New Roman"/>
                      <w:b w:val="0"/>
                      <w:bCs w:val="0"/>
                      <w:sz w:val="21"/>
                      <w:szCs w:val="21"/>
                      <w:u w:val="none"/>
                      <w:lang w:val="en-US" w:eastAsia="zh-CN"/>
                    </w:rPr>
                    <w:t>。</w:t>
                  </w:r>
                  <w:r>
                    <w:rPr>
                      <w:rFonts w:hint="default" w:ascii="Times New Roman" w:hAnsi="Times New Roman" w:eastAsia="宋体" w:cs="Times New Roman"/>
                      <w:b w:val="0"/>
                      <w:bCs w:val="0"/>
                      <w:i w:val="0"/>
                      <w:iCs w:val="0"/>
                      <w:caps w:val="0"/>
                      <w:color w:val="333333"/>
                      <w:spacing w:val="0"/>
                      <w:sz w:val="21"/>
                      <w:szCs w:val="21"/>
                      <w:shd w:val="clear" w:fill="FFFFFF"/>
                    </w:rPr>
                    <w:t>可溶于水、乙醇、丙酮，微溶于脂肪油</w:t>
                  </w:r>
                  <w:r>
                    <w:rPr>
                      <w:rFonts w:hint="default" w:ascii="Times New Roman" w:hAnsi="Times New Roman" w:eastAsia="宋体" w:cs="Times New Roman"/>
                      <w:b w:val="0"/>
                      <w:bCs w:val="0"/>
                      <w:sz w:val="21"/>
                      <w:szCs w:val="21"/>
                      <w:u w:val="none"/>
                      <w:lang w:val="en-US" w:eastAsia="zh-CN"/>
                    </w:rPr>
                    <w:t>。</w:t>
                  </w:r>
                  <w:r>
                    <w:rPr>
                      <w:rFonts w:hint="default" w:ascii="Times New Roman" w:hAnsi="Times New Roman" w:eastAsia="宋体" w:cs="Times New Roman"/>
                      <w:b w:val="0"/>
                      <w:bCs w:val="0"/>
                      <w:i w:val="0"/>
                      <w:iCs w:val="0"/>
                      <w:caps w:val="0"/>
                      <w:color w:val="333333"/>
                      <w:spacing w:val="0"/>
                      <w:sz w:val="21"/>
                      <w:szCs w:val="21"/>
                      <w:shd w:val="clear" w:fill="FFFFFF"/>
                    </w:rPr>
                    <w:t>是食品、医疗和工业领域常用的液化气体</w:t>
                  </w:r>
                  <w:r>
                    <w:rPr>
                      <w:rFonts w:hint="eastAsia" w:ascii="Times New Roman" w:hAnsi="Times New Roman" w:eastAsia="宋体" w:cs="Times New Roman"/>
                      <w:b w:val="0"/>
                      <w:bCs w:val="0"/>
                      <w:i w:val="0"/>
                      <w:iCs w:val="0"/>
                      <w:caps w:val="0"/>
                      <w:color w:val="333333"/>
                      <w:spacing w:val="0"/>
                      <w:sz w:val="21"/>
                      <w:szCs w:val="21"/>
                      <w:shd w:val="clear" w:fill="FFFFFF"/>
                      <w:lang w:eastAsia="zh-CN"/>
                    </w:rPr>
                    <w:t>。</w:t>
                  </w:r>
                </w:p>
              </w:tc>
            </w:tr>
            <w:tr w14:paraId="4A1A6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3" w:type="pct"/>
                  <w:tcBorders>
                    <w:tl2br w:val="nil"/>
                    <w:tr2bl w:val="nil"/>
                  </w:tcBorders>
                  <w:noWrap w:val="0"/>
                  <w:vAlign w:val="center"/>
                </w:tcPr>
                <w:p w14:paraId="5D38867C">
                  <w:pPr>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液态氮气</w:t>
                  </w:r>
                </w:p>
              </w:tc>
              <w:tc>
                <w:tcPr>
                  <w:tcW w:w="4456" w:type="pct"/>
                  <w:tcBorders>
                    <w:tl2br w:val="nil"/>
                    <w:tr2bl w:val="nil"/>
                  </w:tcBorders>
                  <w:noWrap w:val="0"/>
                  <w:vAlign w:val="center"/>
                </w:tcPr>
                <w:p w14:paraId="525E94CF">
                  <w:pPr>
                    <w:jc w:val="left"/>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无色无味的气体，熔点-209.9℃，沸点-195.6℃，相对水密度为0.81(-196℃)， 相对蒸气密度为0.97，临界温度-147. 1℃ , 临界压力3.40MPa。氮微溶于水、乙醇，溶于液氨。用于合成氨，制硝酸，用作保护剂、冷冻剂等。氮气化学性质不活泼。氮是通过吸入对人体健康造成危害。常压下氮气无毒。</w:t>
                  </w:r>
                </w:p>
              </w:tc>
            </w:tr>
            <w:tr w14:paraId="509F0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43" w:type="pct"/>
                  <w:tcBorders>
                    <w:tl2br w:val="nil"/>
                    <w:tr2bl w:val="nil"/>
                  </w:tcBorders>
                  <w:noWrap w:val="0"/>
                  <w:vAlign w:val="center"/>
                </w:tcPr>
                <w:p w14:paraId="59609D36">
                  <w:pPr>
                    <w:jc w:val="center"/>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液态二氧化碳</w:t>
                  </w:r>
                </w:p>
              </w:tc>
              <w:tc>
                <w:tcPr>
                  <w:tcW w:w="4456" w:type="pct"/>
                  <w:tcBorders>
                    <w:tl2br w:val="nil"/>
                    <w:tr2bl w:val="nil"/>
                  </w:tcBorders>
                  <w:noWrap w:val="0"/>
                  <w:vAlign w:val="center"/>
                </w:tcPr>
                <w:p w14:paraId="6F19C758">
                  <w:pPr>
                    <w:jc w:val="left"/>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无色无味的气体，熔点-56.6℃</w:t>
                  </w:r>
                  <w:r>
                    <w:rPr>
                      <w:rFonts w:hint="eastAsia" w:cs="Times New Roman"/>
                      <w:b w:val="0"/>
                      <w:bCs w:val="0"/>
                      <w:sz w:val="21"/>
                      <w:szCs w:val="21"/>
                      <w:u w:val="none"/>
                      <w:lang w:val="en-US" w:eastAsia="zh-CN"/>
                    </w:rPr>
                    <w:t>，</w:t>
                  </w:r>
                  <w:r>
                    <w:rPr>
                      <w:rFonts w:hint="default" w:ascii="Times New Roman" w:hAnsi="Times New Roman" w:eastAsia="宋体" w:cs="Times New Roman"/>
                      <w:b w:val="0"/>
                      <w:bCs w:val="0"/>
                      <w:sz w:val="21"/>
                      <w:szCs w:val="21"/>
                      <w:u w:val="none"/>
                      <w:lang w:val="en-US" w:eastAsia="zh-CN"/>
                    </w:rPr>
                    <w:t>沸点-78.5℃，相对水密度为0.93(-79℃)，</w:t>
                  </w:r>
                </w:p>
                <w:p w14:paraId="7D608D5D">
                  <w:pPr>
                    <w:jc w:val="left"/>
                    <w:rPr>
                      <w:rFonts w:hint="default" w:ascii="Times New Roman" w:hAnsi="Times New Roman" w:eastAsia="宋体" w:cs="Times New Roman"/>
                      <w:b w:val="0"/>
                      <w:bCs w:val="0"/>
                      <w:sz w:val="21"/>
                      <w:szCs w:val="21"/>
                      <w:u w:val="none"/>
                      <w:lang w:val="en-US" w:eastAsia="zh-CN"/>
                    </w:rPr>
                  </w:pPr>
                  <w:r>
                    <w:rPr>
                      <w:rFonts w:hint="default" w:ascii="Times New Roman" w:hAnsi="Times New Roman" w:eastAsia="宋体" w:cs="Times New Roman"/>
                      <w:b w:val="0"/>
                      <w:bCs w:val="0"/>
                      <w:sz w:val="21"/>
                      <w:szCs w:val="21"/>
                      <w:u w:val="none"/>
                      <w:lang w:val="en-US" w:eastAsia="zh-CN"/>
                    </w:rPr>
                    <w:t>相对蒸气密度为1.53，临界温度31.0℃，临界压力7.39MPa。二氧化碳溶于水、烃类等多数有机溶剂。用于制糖工业、制碱工业等，也用于冷饮、灭火及有机合成。二氧化碳化学性质不活泼。在低浓度时，对呼吸中枢呈兴奋作用。</w:t>
                  </w:r>
                </w:p>
              </w:tc>
            </w:tr>
          </w:tbl>
          <w:p w14:paraId="2C69659C">
            <w:pPr>
              <w:pStyle w:val="11"/>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主要设备</w:t>
            </w:r>
          </w:p>
          <w:p w14:paraId="5BDACE4C">
            <w:pPr>
              <w:pStyle w:val="2"/>
              <w:spacing w:after="0" w:line="360" w:lineRule="auto"/>
              <w:ind w:left="0" w:leftChars="0" w:firstLine="480" w:firstLineChars="200"/>
              <w:rPr>
                <w:rFonts w:hint="eastAsia"/>
                <w:color w:val="auto"/>
                <w:sz w:val="24"/>
                <w:highlight w:val="none"/>
                <w:lang w:val="en-US" w:eastAsia="zh-CN"/>
              </w:rPr>
            </w:pPr>
            <w:r>
              <w:rPr>
                <w:rFonts w:hint="default" w:ascii="Times New Roman" w:hAnsi="Times New Roman" w:cs="Times New Roman"/>
                <w:color w:val="auto"/>
                <w:sz w:val="24"/>
                <w:highlight w:val="none"/>
              </w:rPr>
              <w:t>本项目主要设备</w:t>
            </w:r>
            <w:r>
              <w:rPr>
                <w:rFonts w:hint="default" w:ascii="Times New Roman" w:hAnsi="Times New Roman" w:cs="Times New Roman"/>
                <w:color w:val="auto"/>
                <w:sz w:val="24"/>
                <w:highlight w:val="none"/>
                <w:lang w:val="en-US" w:eastAsia="zh-CN"/>
              </w:rPr>
              <w:t>如下表所示。</w:t>
            </w:r>
          </w:p>
          <w:p w14:paraId="65CF01C5">
            <w:pPr>
              <w:jc w:val="cente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表2-5主要设备一览表</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951"/>
              <w:gridCol w:w="1866"/>
              <w:gridCol w:w="778"/>
              <w:gridCol w:w="1993"/>
            </w:tblGrid>
            <w:tr w14:paraId="07E58A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tcBorders>
                    <w:tl2br w:val="nil"/>
                    <w:tr2bl w:val="nil"/>
                  </w:tcBorders>
                  <w:vAlign w:val="center"/>
                </w:tcPr>
                <w:p w14:paraId="3B23EED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设备类型</w:t>
                  </w:r>
                </w:p>
              </w:tc>
              <w:tc>
                <w:tcPr>
                  <w:tcW w:w="1249" w:type="pct"/>
                  <w:tcBorders>
                    <w:tl2br w:val="nil"/>
                    <w:tr2bl w:val="nil"/>
                  </w:tcBorders>
                  <w:vAlign w:val="center"/>
                </w:tcPr>
                <w:p w14:paraId="3E2611B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设备名称</w:t>
                  </w:r>
                </w:p>
              </w:tc>
              <w:tc>
                <w:tcPr>
                  <w:tcW w:w="1195" w:type="pct"/>
                  <w:tcBorders>
                    <w:tl2br w:val="nil"/>
                    <w:tr2bl w:val="nil"/>
                  </w:tcBorders>
                  <w:vAlign w:val="center"/>
                </w:tcPr>
                <w:p w14:paraId="4DDC542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型号</w:t>
                  </w:r>
                </w:p>
              </w:tc>
              <w:tc>
                <w:tcPr>
                  <w:tcW w:w="498" w:type="pct"/>
                  <w:tcBorders>
                    <w:tl2br w:val="nil"/>
                    <w:tr2bl w:val="nil"/>
                  </w:tcBorders>
                  <w:vAlign w:val="center"/>
                </w:tcPr>
                <w:p w14:paraId="63C0C3F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数量（台）</w:t>
                  </w:r>
                </w:p>
              </w:tc>
              <w:tc>
                <w:tcPr>
                  <w:tcW w:w="1276" w:type="pct"/>
                  <w:tcBorders>
                    <w:tl2br w:val="nil"/>
                    <w:tr2bl w:val="nil"/>
                  </w:tcBorders>
                  <w:vAlign w:val="center"/>
                </w:tcPr>
                <w:p w14:paraId="6C306D0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备注</w:t>
                  </w:r>
                </w:p>
              </w:tc>
            </w:tr>
            <w:tr w14:paraId="55A744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restart"/>
                  <w:tcBorders>
                    <w:tl2br w:val="nil"/>
                    <w:tr2bl w:val="nil"/>
                  </w:tcBorders>
                  <w:vAlign w:val="center"/>
                </w:tcPr>
                <w:p w14:paraId="7239ED2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一氧化二氮充装装置</w:t>
                  </w:r>
                </w:p>
              </w:tc>
              <w:tc>
                <w:tcPr>
                  <w:tcW w:w="1249" w:type="pct"/>
                  <w:tcBorders>
                    <w:tl2br w:val="nil"/>
                    <w:tr2bl w:val="nil"/>
                  </w:tcBorders>
                  <w:vAlign w:val="center"/>
                </w:tcPr>
                <w:p w14:paraId="63250D5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低温液体泵</w:t>
                  </w:r>
                </w:p>
              </w:tc>
              <w:tc>
                <w:tcPr>
                  <w:tcW w:w="1195" w:type="pct"/>
                  <w:tcBorders>
                    <w:tl2br w:val="nil"/>
                    <w:tr2bl w:val="nil"/>
                  </w:tcBorders>
                  <w:vAlign w:val="center"/>
                </w:tcPr>
                <w:p w14:paraId="072CDCE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498" w:type="pct"/>
                  <w:tcBorders>
                    <w:tl2br w:val="nil"/>
                    <w:tr2bl w:val="nil"/>
                  </w:tcBorders>
                  <w:vAlign w:val="center"/>
                </w:tcPr>
                <w:p w14:paraId="2EACD06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36ECBFD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4C7BD0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780" w:type="pct"/>
                  <w:vMerge w:val="continue"/>
                  <w:tcBorders>
                    <w:tl2br w:val="nil"/>
                    <w:tr2bl w:val="nil"/>
                  </w:tcBorders>
                  <w:vAlign w:val="center"/>
                </w:tcPr>
                <w:p w14:paraId="15F9C3F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738B9B21">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永磁变频螺杆机</w:t>
                  </w:r>
                </w:p>
              </w:tc>
              <w:tc>
                <w:tcPr>
                  <w:tcW w:w="1195" w:type="pct"/>
                  <w:tcBorders>
                    <w:tl2br w:val="nil"/>
                    <w:tr2bl w:val="nil"/>
                  </w:tcBorders>
                  <w:vAlign w:val="center"/>
                </w:tcPr>
                <w:p w14:paraId="5A38CC35">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ES-30/8</w:t>
                  </w:r>
                </w:p>
              </w:tc>
              <w:tc>
                <w:tcPr>
                  <w:tcW w:w="498" w:type="pct"/>
                  <w:tcBorders>
                    <w:tl2br w:val="nil"/>
                    <w:tr2bl w:val="nil"/>
                  </w:tcBorders>
                  <w:vAlign w:val="center"/>
                </w:tcPr>
                <w:p w14:paraId="32F5E24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3C3C93F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0B760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80" w:type="pct"/>
                  <w:vMerge w:val="continue"/>
                  <w:tcBorders>
                    <w:tl2br w:val="nil"/>
                    <w:tr2bl w:val="nil"/>
                  </w:tcBorders>
                  <w:vAlign w:val="center"/>
                </w:tcPr>
                <w:p w14:paraId="1B20346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13BE1440">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双工位气体充装台</w:t>
                  </w:r>
                </w:p>
              </w:tc>
              <w:tc>
                <w:tcPr>
                  <w:tcW w:w="1195" w:type="pct"/>
                  <w:tcBorders>
                    <w:tl2br w:val="nil"/>
                    <w:tr2bl w:val="nil"/>
                  </w:tcBorders>
                  <w:vAlign w:val="center"/>
                </w:tcPr>
                <w:p w14:paraId="21BFB9C6">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DLS-AuTo28-M2</w:t>
                  </w:r>
                </w:p>
              </w:tc>
              <w:tc>
                <w:tcPr>
                  <w:tcW w:w="498" w:type="pct"/>
                  <w:tcBorders>
                    <w:tl2br w:val="nil"/>
                    <w:tr2bl w:val="nil"/>
                  </w:tcBorders>
                  <w:vAlign w:val="center"/>
                </w:tcPr>
                <w:p w14:paraId="351C510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6</w:t>
                  </w:r>
                </w:p>
              </w:tc>
              <w:tc>
                <w:tcPr>
                  <w:tcW w:w="1276" w:type="pct"/>
                  <w:tcBorders>
                    <w:tl2br w:val="nil"/>
                    <w:tr2bl w:val="nil"/>
                  </w:tcBorders>
                  <w:vAlign w:val="center"/>
                </w:tcPr>
                <w:p w14:paraId="478397F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4F5EE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80" w:type="pct"/>
                  <w:vMerge w:val="continue"/>
                  <w:tcBorders>
                    <w:tl2br w:val="nil"/>
                    <w:tr2bl w:val="nil"/>
                  </w:tcBorders>
                  <w:vAlign w:val="center"/>
                </w:tcPr>
                <w:p w14:paraId="033E696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67970928">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000000"/>
                      <w:spacing w:val="0"/>
                      <w:position w:val="0"/>
                      <w:sz w:val="21"/>
                      <w:szCs w:val="21"/>
                      <w:lang w:val="en-US" w:eastAsia="zh-CN"/>
                    </w:rPr>
                  </w:pPr>
                  <w:r>
                    <w:rPr>
                      <w:rFonts w:hint="eastAsia" w:ascii="Times New Roman" w:hAnsi="Times New Roman" w:cs="Times New Roman"/>
                      <w:b w:val="0"/>
                      <w:bCs/>
                      <w:color w:val="000000"/>
                      <w:spacing w:val="0"/>
                      <w:position w:val="0"/>
                      <w:sz w:val="21"/>
                      <w:szCs w:val="21"/>
                      <w:lang w:val="en-US" w:eastAsia="zh-CN"/>
                    </w:rPr>
                    <w:t>缓冲罐</w:t>
                  </w:r>
                </w:p>
              </w:tc>
              <w:tc>
                <w:tcPr>
                  <w:tcW w:w="1195" w:type="pct"/>
                  <w:tcBorders>
                    <w:tl2br w:val="nil"/>
                    <w:tr2bl w:val="nil"/>
                  </w:tcBorders>
                  <w:vAlign w:val="center"/>
                </w:tcPr>
                <w:p w14:paraId="76F1A3A6">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000000"/>
                      <w:spacing w:val="0"/>
                      <w:position w:val="0"/>
                      <w:sz w:val="21"/>
                      <w:szCs w:val="21"/>
                    </w:rPr>
                  </w:pPr>
                  <w:r>
                    <w:rPr>
                      <w:rFonts w:hint="eastAsia" w:ascii="Times New Roman" w:hAnsi="Times New Roman" w:eastAsia="宋体" w:cs="Times New Roman"/>
                      <w:b w:val="0"/>
                      <w:bCs/>
                      <w:color w:val="000000"/>
                      <w:spacing w:val="0"/>
                      <w:position w:val="0"/>
                      <w:sz w:val="21"/>
                      <w:szCs w:val="21"/>
                    </w:rPr>
                    <w:t>XSR森霸储气罐1.0/8</w:t>
                  </w:r>
                </w:p>
              </w:tc>
              <w:tc>
                <w:tcPr>
                  <w:tcW w:w="498" w:type="pct"/>
                  <w:tcBorders>
                    <w:tl2br w:val="nil"/>
                    <w:tr2bl w:val="nil"/>
                  </w:tcBorders>
                  <w:vAlign w:val="center"/>
                </w:tcPr>
                <w:p w14:paraId="5927EBB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6CDFA151">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6F9470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pct"/>
                  <w:vMerge w:val="restart"/>
                  <w:tcBorders>
                    <w:tl2br w:val="nil"/>
                    <w:tr2bl w:val="nil"/>
                  </w:tcBorders>
                  <w:vAlign w:val="center"/>
                </w:tcPr>
                <w:p w14:paraId="1484B2E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氮气充装装置</w:t>
                  </w:r>
                </w:p>
              </w:tc>
              <w:tc>
                <w:tcPr>
                  <w:tcW w:w="1249" w:type="pct"/>
                  <w:tcBorders>
                    <w:tl2br w:val="nil"/>
                    <w:tr2bl w:val="nil"/>
                  </w:tcBorders>
                  <w:vAlign w:val="center"/>
                </w:tcPr>
                <w:p w14:paraId="4FBDACB9">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氮气汇流排</w:t>
                  </w:r>
                </w:p>
              </w:tc>
              <w:tc>
                <w:tcPr>
                  <w:tcW w:w="1195" w:type="pct"/>
                  <w:tcBorders>
                    <w:tl2br w:val="nil"/>
                    <w:tr2bl w:val="nil"/>
                  </w:tcBorders>
                  <w:vAlign w:val="center"/>
                </w:tcPr>
                <w:p w14:paraId="7A6CC69A">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每组10个充装头</w:t>
                  </w:r>
                </w:p>
              </w:tc>
              <w:tc>
                <w:tcPr>
                  <w:tcW w:w="498" w:type="pct"/>
                  <w:tcBorders>
                    <w:tl2br w:val="nil"/>
                    <w:tr2bl w:val="nil"/>
                  </w:tcBorders>
                  <w:vAlign w:val="center"/>
                </w:tcPr>
                <w:p w14:paraId="3F1BA60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0495F04A">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75F9E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pct"/>
                  <w:vMerge w:val="continue"/>
                  <w:tcBorders>
                    <w:tl2br w:val="nil"/>
                    <w:tr2bl w:val="nil"/>
                  </w:tcBorders>
                  <w:vAlign w:val="center"/>
                </w:tcPr>
                <w:p w14:paraId="06BF19F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7D975C5D">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液氮汽化器</w:t>
                  </w:r>
                </w:p>
              </w:tc>
              <w:tc>
                <w:tcPr>
                  <w:tcW w:w="1195" w:type="pct"/>
                  <w:tcBorders>
                    <w:tl2br w:val="nil"/>
                    <w:tr2bl w:val="nil"/>
                  </w:tcBorders>
                  <w:vAlign w:val="center"/>
                </w:tcPr>
                <w:p w14:paraId="0F94244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498" w:type="pct"/>
                  <w:tcBorders>
                    <w:tl2br w:val="nil"/>
                    <w:tr2bl w:val="nil"/>
                  </w:tcBorders>
                  <w:vAlign w:val="center"/>
                </w:tcPr>
                <w:p w14:paraId="4A7F6D6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0AB142F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E6521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pct"/>
                  <w:vMerge w:val="continue"/>
                  <w:tcBorders>
                    <w:tl2br w:val="nil"/>
                    <w:tr2bl w:val="nil"/>
                  </w:tcBorders>
                  <w:vAlign w:val="center"/>
                </w:tcPr>
                <w:p w14:paraId="1EBF302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2DC5B612">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低温液体泵</w:t>
                  </w:r>
                </w:p>
              </w:tc>
              <w:tc>
                <w:tcPr>
                  <w:tcW w:w="1195" w:type="pct"/>
                  <w:tcBorders>
                    <w:tl2br w:val="nil"/>
                    <w:tr2bl w:val="nil"/>
                  </w:tcBorders>
                  <w:vAlign w:val="center"/>
                </w:tcPr>
                <w:p w14:paraId="37DE063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498" w:type="pct"/>
                  <w:tcBorders>
                    <w:tl2br w:val="nil"/>
                    <w:tr2bl w:val="nil"/>
                  </w:tcBorders>
                  <w:vAlign w:val="center"/>
                </w:tcPr>
                <w:p w14:paraId="62AA0177">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1B4D001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33C1A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pct"/>
                  <w:vMerge w:val="restart"/>
                  <w:tcBorders>
                    <w:tl2br w:val="nil"/>
                    <w:tr2bl w:val="nil"/>
                  </w:tcBorders>
                  <w:vAlign w:val="center"/>
                </w:tcPr>
                <w:p w14:paraId="2CA3A40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二氧化碳充装装置</w:t>
                  </w:r>
                </w:p>
              </w:tc>
              <w:tc>
                <w:tcPr>
                  <w:tcW w:w="1249" w:type="pct"/>
                  <w:tcBorders>
                    <w:tl2br w:val="nil"/>
                    <w:tr2bl w:val="nil"/>
                  </w:tcBorders>
                  <w:vAlign w:val="center"/>
                </w:tcPr>
                <w:p w14:paraId="3F771603">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二氧化碳汇流排</w:t>
                  </w:r>
                </w:p>
              </w:tc>
              <w:tc>
                <w:tcPr>
                  <w:tcW w:w="1195" w:type="pct"/>
                  <w:tcBorders>
                    <w:tl2br w:val="nil"/>
                    <w:tr2bl w:val="nil"/>
                  </w:tcBorders>
                  <w:vAlign w:val="center"/>
                </w:tcPr>
                <w:p w14:paraId="137AF4EC">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每组6个充装头</w:t>
                  </w:r>
                </w:p>
              </w:tc>
              <w:tc>
                <w:tcPr>
                  <w:tcW w:w="498" w:type="pct"/>
                  <w:tcBorders>
                    <w:tl2br w:val="nil"/>
                    <w:tr2bl w:val="nil"/>
                  </w:tcBorders>
                  <w:vAlign w:val="center"/>
                </w:tcPr>
                <w:p w14:paraId="41FC596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3</w:t>
                  </w:r>
                </w:p>
              </w:tc>
              <w:tc>
                <w:tcPr>
                  <w:tcW w:w="1276" w:type="pct"/>
                  <w:tcBorders>
                    <w:tl2br w:val="nil"/>
                    <w:tr2bl w:val="nil"/>
                  </w:tcBorders>
                  <w:vAlign w:val="center"/>
                </w:tcPr>
                <w:p w14:paraId="1438BA41">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00C9F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80" w:type="pct"/>
                  <w:vMerge w:val="continue"/>
                  <w:tcBorders>
                    <w:tl2br w:val="nil"/>
                    <w:tr2bl w:val="nil"/>
                  </w:tcBorders>
                  <w:vAlign w:val="center"/>
                </w:tcPr>
                <w:p w14:paraId="5A79B76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363C00FD">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低温液体泵</w:t>
                  </w:r>
                </w:p>
              </w:tc>
              <w:tc>
                <w:tcPr>
                  <w:tcW w:w="1195" w:type="pct"/>
                  <w:tcBorders>
                    <w:tl2br w:val="nil"/>
                    <w:tr2bl w:val="nil"/>
                  </w:tcBorders>
                  <w:vAlign w:val="center"/>
                </w:tcPr>
                <w:p w14:paraId="098C7B2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498" w:type="pct"/>
                  <w:tcBorders>
                    <w:tl2br w:val="nil"/>
                    <w:tr2bl w:val="nil"/>
                  </w:tcBorders>
                  <w:vAlign w:val="center"/>
                </w:tcPr>
                <w:p w14:paraId="0C8AC45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2C0688C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B9818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pct"/>
                  <w:vMerge w:val="continue"/>
                  <w:tcBorders>
                    <w:tl2br w:val="nil"/>
                    <w:tr2bl w:val="nil"/>
                  </w:tcBorders>
                  <w:vAlign w:val="center"/>
                </w:tcPr>
                <w:p w14:paraId="55F04B9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7990479C">
                  <w:pPr>
                    <w:pStyle w:val="2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0"/>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电子计量台秤</w:t>
                  </w:r>
                </w:p>
              </w:tc>
              <w:tc>
                <w:tcPr>
                  <w:tcW w:w="1195" w:type="pct"/>
                  <w:tcBorders>
                    <w:tl2br w:val="nil"/>
                    <w:tr2bl w:val="nil"/>
                  </w:tcBorders>
                  <w:vAlign w:val="center"/>
                </w:tcPr>
                <w:p w14:paraId="6BE5B8A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600kg</w:t>
                  </w:r>
                </w:p>
              </w:tc>
              <w:tc>
                <w:tcPr>
                  <w:tcW w:w="498" w:type="pct"/>
                  <w:tcBorders>
                    <w:tl2br w:val="nil"/>
                    <w:tr2bl w:val="nil"/>
                  </w:tcBorders>
                  <w:vAlign w:val="center"/>
                </w:tcPr>
                <w:p w14:paraId="4BD3A61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4</w:t>
                  </w:r>
                </w:p>
              </w:tc>
              <w:tc>
                <w:tcPr>
                  <w:tcW w:w="1276" w:type="pct"/>
                  <w:tcBorders>
                    <w:tl2br w:val="nil"/>
                    <w:tr2bl w:val="nil"/>
                  </w:tcBorders>
                  <w:vAlign w:val="center"/>
                </w:tcPr>
                <w:p w14:paraId="1508967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7E20C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restart"/>
                  <w:tcBorders>
                    <w:tl2br w:val="nil"/>
                    <w:tr2bl w:val="nil"/>
                  </w:tcBorders>
                  <w:vAlign w:val="center"/>
                </w:tcPr>
                <w:p w14:paraId="22955EC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低温液体储罐</w:t>
                  </w:r>
                </w:p>
              </w:tc>
              <w:tc>
                <w:tcPr>
                  <w:tcW w:w="1249" w:type="pct"/>
                  <w:tcBorders>
                    <w:tl2br w:val="nil"/>
                    <w:tr2bl w:val="nil"/>
                  </w:tcBorders>
                  <w:vAlign w:val="center"/>
                </w:tcPr>
                <w:p w14:paraId="403FF0B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液态一氧化二氮储罐</w:t>
                  </w:r>
                </w:p>
              </w:tc>
              <w:tc>
                <w:tcPr>
                  <w:tcW w:w="1195" w:type="pct"/>
                  <w:tcBorders>
                    <w:tl2br w:val="nil"/>
                    <w:tr2bl w:val="nil"/>
                  </w:tcBorders>
                  <w:vAlign w:val="center"/>
                </w:tcPr>
                <w:p w14:paraId="4F31F6A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30m</w:t>
                  </w:r>
                  <w:r>
                    <w:rPr>
                      <w:rFonts w:hint="default" w:ascii="Times New Roman" w:hAnsi="Times New Roman" w:eastAsia="宋体" w:cs="Times New Roman"/>
                      <w:b w:val="0"/>
                      <w:bCs/>
                      <w:color w:val="auto"/>
                      <w:sz w:val="21"/>
                      <w:szCs w:val="21"/>
                      <w:highlight w:val="none"/>
                      <w:vertAlign w:val="superscript"/>
                      <w:lang w:val="en-US" w:eastAsia="zh-CN"/>
                    </w:rPr>
                    <w:t>3</w:t>
                  </w:r>
                </w:p>
              </w:tc>
              <w:tc>
                <w:tcPr>
                  <w:tcW w:w="498" w:type="pct"/>
                  <w:tcBorders>
                    <w:tl2br w:val="nil"/>
                    <w:tr2bl w:val="nil"/>
                  </w:tcBorders>
                  <w:vAlign w:val="center"/>
                </w:tcPr>
                <w:p w14:paraId="072886D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36101E69">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立式真空绝热储罐</w:t>
                  </w:r>
                </w:p>
                <w:p w14:paraId="65017D3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储存压力：2.0</w:t>
                  </w:r>
                  <w:r>
                    <w:rPr>
                      <w:rStyle w:val="27"/>
                      <w:rFonts w:hint="default" w:ascii="Times New Roman" w:hAnsi="Times New Roman" w:eastAsia="宋体" w:cs="Times New Roman"/>
                      <w:b w:val="0"/>
                      <w:bCs/>
                      <w:i w:val="0"/>
                      <w:iCs w:val="0"/>
                      <w:caps w:val="0"/>
                      <w:color w:val="333333"/>
                      <w:spacing w:val="0"/>
                      <w:sz w:val="21"/>
                      <w:szCs w:val="21"/>
                      <w:shd w:val="clear" w:fill="FFFFFF"/>
                    </w:rPr>
                    <w:t>~</w:t>
                  </w:r>
                  <w:r>
                    <w:rPr>
                      <w:rFonts w:hint="default" w:ascii="Times New Roman" w:hAnsi="Times New Roman" w:eastAsia="宋体" w:cs="Times New Roman"/>
                      <w:b w:val="0"/>
                      <w:bCs/>
                      <w:color w:val="auto"/>
                      <w:sz w:val="21"/>
                      <w:szCs w:val="21"/>
                      <w:highlight w:val="none"/>
                      <w:vertAlign w:val="baseline"/>
                      <w:lang w:val="en-US" w:eastAsia="zh-CN"/>
                    </w:rPr>
                    <w:t>5.0MPa</w:t>
                  </w:r>
                </w:p>
                <w:p w14:paraId="337B12A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储存温度：-10</w:t>
                  </w:r>
                  <w:r>
                    <w:rPr>
                      <w:rStyle w:val="27"/>
                      <w:rFonts w:hint="default" w:ascii="Times New Roman" w:hAnsi="Times New Roman" w:eastAsia="宋体" w:cs="Times New Roman"/>
                      <w:b w:val="0"/>
                      <w:bCs/>
                      <w:i w:val="0"/>
                      <w:iCs w:val="0"/>
                      <w:caps w:val="0"/>
                      <w:color w:val="333333"/>
                      <w:spacing w:val="0"/>
                      <w:sz w:val="21"/>
                      <w:szCs w:val="21"/>
                      <w:shd w:val="clear" w:fill="FFFFFF"/>
                    </w:rPr>
                    <w:t>~</w:t>
                  </w:r>
                  <w:r>
                    <w:rPr>
                      <w:rFonts w:hint="default" w:ascii="Times New Roman" w:hAnsi="Times New Roman" w:eastAsia="宋体" w:cs="Times New Roman"/>
                      <w:b w:val="0"/>
                      <w:bCs/>
                      <w:color w:val="auto"/>
                      <w:sz w:val="21"/>
                      <w:szCs w:val="21"/>
                      <w:highlight w:val="none"/>
                      <w:vertAlign w:val="baseline"/>
                      <w:lang w:val="en-US" w:eastAsia="zh-CN"/>
                    </w:rPr>
                    <w:t>0℃</w:t>
                  </w:r>
                </w:p>
              </w:tc>
            </w:tr>
            <w:tr w14:paraId="7FB403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continue"/>
                  <w:tcBorders>
                    <w:tl2br w:val="nil"/>
                    <w:tr2bl w:val="nil"/>
                  </w:tcBorders>
                  <w:vAlign w:val="center"/>
                </w:tcPr>
                <w:p w14:paraId="5033FC0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175258B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液态氮气储罐</w:t>
                  </w:r>
                </w:p>
              </w:tc>
              <w:tc>
                <w:tcPr>
                  <w:tcW w:w="1195" w:type="pct"/>
                  <w:tcBorders>
                    <w:tl2br w:val="nil"/>
                    <w:tr2bl w:val="nil"/>
                  </w:tcBorders>
                  <w:vAlign w:val="center"/>
                </w:tcPr>
                <w:p w14:paraId="414F6C6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30m</w:t>
                  </w:r>
                  <w:r>
                    <w:rPr>
                      <w:rFonts w:hint="default" w:ascii="Times New Roman" w:hAnsi="Times New Roman" w:eastAsia="宋体" w:cs="Times New Roman"/>
                      <w:b w:val="0"/>
                      <w:bCs/>
                      <w:color w:val="auto"/>
                      <w:sz w:val="21"/>
                      <w:szCs w:val="21"/>
                      <w:highlight w:val="none"/>
                      <w:vertAlign w:val="superscript"/>
                      <w:lang w:val="en-US" w:eastAsia="zh-CN"/>
                    </w:rPr>
                    <w:t>3</w:t>
                  </w:r>
                </w:p>
              </w:tc>
              <w:tc>
                <w:tcPr>
                  <w:tcW w:w="498" w:type="pct"/>
                  <w:tcBorders>
                    <w:tl2br w:val="nil"/>
                    <w:tr2bl w:val="nil"/>
                  </w:tcBorders>
                  <w:vAlign w:val="center"/>
                </w:tcPr>
                <w:p w14:paraId="52C8658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57B23365">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立式真空绝热储罐</w:t>
                  </w:r>
                </w:p>
                <w:p w14:paraId="3DC8DED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储存压力：0.1</w:t>
                  </w:r>
                  <w:r>
                    <w:rPr>
                      <w:rStyle w:val="27"/>
                      <w:rFonts w:hint="default" w:ascii="Times New Roman" w:hAnsi="Times New Roman" w:eastAsia="宋体" w:cs="Times New Roman"/>
                      <w:b w:val="0"/>
                      <w:bCs/>
                      <w:i w:val="0"/>
                      <w:iCs w:val="0"/>
                      <w:caps w:val="0"/>
                      <w:color w:val="333333"/>
                      <w:spacing w:val="0"/>
                      <w:sz w:val="21"/>
                      <w:szCs w:val="21"/>
                      <w:shd w:val="clear" w:fill="FFFFFF"/>
                    </w:rPr>
                    <w:t>~</w:t>
                  </w:r>
                  <w:r>
                    <w:rPr>
                      <w:rFonts w:hint="default" w:ascii="Times New Roman" w:hAnsi="Times New Roman" w:eastAsia="宋体" w:cs="Times New Roman"/>
                      <w:b w:val="0"/>
                      <w:bCs/>
                      <w:color w:val="auto"/>
                      <w:sz w:val="21"/>
                      <w:szCs w:val="21"/>
                      <w:highlight w:val="none"/>
                      <w:vertAlign w:val="baseline"/>
                      <w:lang w:val="en-US" w:eastAsia="zh-CN"/>
                    </w:rPr>
                    <w:t>0.5MPa</w:t>
                  </w:r>
                </w:p>
                <w:p w14:paraId="7EBDFD3A">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储存温度：-196℃</w:t>
                  </w:r>
                </w:p>
              </w:tc>
            </w:tr>
            <w:tr w14:paraId="0D2ACB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vMerge w:val="continue"/>
                  <w:tcBorders>
                    <w:tl2br w:val="nil"/>
                    <w:tr2bl w:val="nil"/>
                  </w:tcBorders>
                  <w:vAlign w:val="center"/>
                </w:tcPr>
                <w:p w14:paraId="4BEF116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249" w:type="pct"/>
                  <w:tcBorders>
                    <w:tl2br w:val="nil"/>
                    <w:tr2bl w:val="nil"/>
                  </w:tcBorders>
                  <w:vAlign w:val="center"/>
                </w:tcPr>
                <w:p w14:paraId="30E9EE1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液态二氧化碳储罐</w:t>
                  </w:r>
                </w:p>
              </w:tc>
              <w:tc>
                <w:tcPr>
                  <w:tcW w:w="1195" w:type="pct"/>
                  <w:tcBorders>
                    <w:tl2br w:val="nil"/>
                    <w:tr2bl w:val="nil"/>
                  </w:tcBorders>
                  <w:vAlign w:val="center"/>
                </w:tcPr>
                <w:p w14:paraId="2F56EE4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30m</w:t>
                  </w:r>
                  <w:r>
                    <w:rPr>
                      <w:rFonts w:hint="default" w:ascii="Times New Roman" w:hAnsi="Times New Roman" w:eastAsia="宋体" w:cs="Times New Roman"/>
                      <w:b w:val="0"/>
                      <w:bCs/>
                      <w:color w:val="auto"/>
                      <w:sz w:val="21"/>
                      <w:szCs w:val="21"/>
                      <w:highlight w:val="none"/>
                      <w:vertAlign w:val="superscript"/>
                      <w:lang w:val="en-US" w:eastAsia="zh-CN"/>
                    </w:rPr>
                    <w:t>3</w:t>
                  </w:r>
                </w:p>
              </w:tc>
              <w:tc>
                <w:tcPr>
                  <w:tcW w:w="498" w:type="pct"/>
                  <w:tcBorders>
                    <w:tl2br w:val="nil"/>
                    <w:tr2bl w:val="nil"/>
                  </w:tcBorders>
                  <w:vAlign w:val="center"/>
                </w:tcPr>
                <w:p w14:paraId="3649D65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01ADC98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立式真空绝热储罐</w:t>
                  </w:r>
                </w:p>
                <w:p w14:paraId="6A8664A7">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储存压力：1.8</w:t>
                  </w:r>
                  <w:r>
                    <w:rPr>
                      <w:rStyle w:val="27"/>
                      <w:rFonts w:hint="default" w:ascii="Times New Roman" w:hAnsi="Times New Roman" w:eastAsia="宋体" w:cs="Times New Roman"/>
                      <w:b w:val="0"/>
                      <w:bCs/>
                      <w:i w:val="0"/>
                      <w:iCs w:val="0"/>
                      <w:caps w:val="0"/>
                      <w:color w:val="333333"/>
                      <w:spacing w:val="0"/>
                      <w:sz w:val="21"/>
                      <w:szCs w:val="21"/>
                      <w:shd w:val="clear" w:fill="FFFFFF"/>
                    </w:rPr>
                    <w:t>~</w:t>
                  </w:r>
                  <w:r>
                    <w:rPr>
                      <w:rFonts w:hint="default" w:ascii="Times New Roman" w:hAnsi="Times New Roman" w:eastAsia="宋体" w:cs="Times New Roman"/>
                      <w:b w:val="0"/>
                      <w:bCs/>
                      <w:color w:val="auto"/>
                      <w:sz w:val="21"/>
                      <w:szCs w:val="21"/>
                      <w:highlight w:val="none"/>
                      <w:vertAlign w:val="baseline"/>
                      <w:lang w:val="en-US" w:eastAsia="zh-CN"/>
                    </w:rPr>
                    <w:t>2.2MPa</w:t>
                  </w:r>
                </w:p>
                <w:p w14:paraId="364F3EF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储存温度：-20</w:t>
                  </w:r>
                  <w:r>
                    <w:rPr>
                      <w:rStyle w:val="27"/>
                      <w:rFonts w:hint="default" w:ascii="Times New Roman" w:hAnsi="Times New Roman" w:eastAsia="宋体" w:cs="Times New Roman"/>
                      <w:b w:val="0"/>
                      <w:bCs/>
                      <w:i w:val="0"/>
                      <w:iCs w:val="0"/>
                      <w:caps w:val="0"/>
                      <w:color w:val="333333"/>
                      <w:spacing w:val="0"/>
                      <w:sz w:val="21"/>
                      <w:szCs w:val="21"/>
                      <w:shd w:val="clear" w:fill="FFFFFF"/>
                    </w:rPr>
                    <w:t>~</w:t>
                  </w:r>
                  <w:r>
                    <w:rPr>
                      <w:rFonts w:hint="default" w:ascii="Times New Roman" w:hAnsi="Times New Roman" w:eastAsia="宋体" w:cs="Times New Roman"/>
                      <w:b w:val="0"/>
                      <w:bCs/>
                      <w:color w:val="auto"/>
                      <w:sz w:val="21"/>
                      <w:szCs w:val="21"/>
                      <w:highlight w:val="none"/>
                      <w:vertAlign w:val="baseline"/>
                      <w:lang w:val="en-US" w:eastAsia="zh-CN"/>
                    </w:rPr>
                    <w:t>-10℃</w:t>
                  </w:r>
                </w:p>
              </w:tc>
            </w:tr>
            <w:tr w14:paraId="127E7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tcBorders>
                    <w:tl2br w:val="nil"/>
                    <w:tr2bl w:val="nil"/>
                  </w:tcBorders>
                  <w:vAlign w:val="center"/>
                </w:tcPr>
                <w:p w14:paraId="7DDEC0A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厂内运输</w:t>
                  </w:r>
                </w:p>
              </w:tc>
              <w:tc>
                <w:tcPr>
                  <w:tcW w:w="1249" w:type="pct"/>
                  <w:tcBorders>
                    <w:tl2br w:val="nil"/>
                    <w:tr2bl w:val="nil"/>
                  </w:tcBorders>
                  <w:vAlign w:val="center"/>
                </w:tcPr>
                <w:p w14:paraId="4D58EB2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叉车</w:t>
                  </w:r>
                </w:p>
              </w:tc>
              <w:tc>
                <w:tcPr>
                  <w:tcW w:w="1195" w:type="pct"/>
                  <w:tcBorders>
                    <w:tl2br w:val="nil"/>
                    <w:tr2bl w:val="nil"/>
                  </w:tcBorders>
                  <w:vAlign w:val="center"/>
                </w:tcPr>
                <w:p w14:paraId="3133284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498" w:type="pct"/>
                  <w:tcBorders>
                    <w:tl2br w:val="nil"/>
                    <w:tr2bl w:val="nil"/>
                  </w:tcBorders>
                  <w:vAlign w:val="center"/>
                </w:tcPr>
                <w:p w14:paraId="002ED27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1276" w:type="pct"/>
                  <w:tcBorders>
                    <w:tl2br w:val="nil"/>
                    <w:tr2bl w:val="nil"/>
                  </w:tcBorders>
                  <w:vAlign w:val="center"/>
                </w:tcPr>
                <w:p w14:paraId="7B92C2A2">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37D4CB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pct"/>
                  <w:tcBorders>
                    <w:tl2br w:val="nil"/>
                    <w:tr2bl w:val="nil"/>
                  </w:tcBorders>
                  <w:vAlign w:val="center"/>
                </w:tcPr>
                <w:p w14:paraId="0CB884C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钢瓶检测</w:t>
                  </w:r>
                </w:p>
              </w:tc>
              <w:tc>
                <w:tcPr>
                  <w:tcW w:w="1249" w:type="pct"/>
                  <w:tcBorders>
                    <w:tl2br w:val="nil"/>
                    <w:tr2bl w:val="nil"/>
                  </w:tcBorders>
                  <w:vAlign w:val="center"/>
                </w:tcPr>
                <w:p w14:paraId="14F4F01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气密性试验装置</w:t>
                  </w:r>
                </w:p>
              </w:tc>
              <w:tc>
                <w:tcPr>
                  <w:tcW w:w="1195" w:type="pct"/>
                  <w:tcBorders>
                    <w:tl2br w:val="nil"/>
                    <w:tr2bl w:val="nil"/>
                  </w:tcBorders>
                  <w:vAlign w:val="center"/>
                </w:tcPr>
                <w:p w14:paraId="0B101AC8">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cs="Times New Roman"/>
                      <w:color w:val="auto"/>
                      <w:kern w:val="2"/>
                      <w:sz w:val="21"/>
                      <w:szCs w:val="21"/>
                      <w:highlight w:val="none"/>
                      <w:lang w:val="en-US" w:eastAsia="zh-CN"/>
                    </w:rPr>
                    <w:t>NDIR</w:t>
                  </w:r>
                </w:p>
              </w:tc>
              <w:tc>
                <w:tcPr>
                  <w:tcW w:w="498" w:type="pct"/>
                  <w:tcBorders>
                    <w:tl2br w:val="nil"/>
                    <w:tr2bl w:val="nil"/>
                  </w:tcBorders>
                  <w:vAlign w:val="center"/>
                </w:tcPr>
                <w:p w14:paraId="7C640317">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2</w:t>
                  </w:r>
                </w:p>
              </w:tc>
              <w:tc>
                <w:tcPr>
                  <w:tcW w:w="1276" w:type="pct"/>
                  <w:tcBorders>
                    <w:tl2br w:val="nil"/>
                    <w:tr2bl w:val="nil"/>
                  </w:tcBorders>
                  <w:vAlign w:val="center"/>
                </w:tcPr>
                <w:p w14:paraId="0D68E98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240" w:lineRule="auto"/>
                    <w:ind w:right="0" w:firstLine="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bl>
          <w:p w14:paraId="7EA53BAF">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2" w:firstLineChars="200"/>
              <w:jc w:val="both"/>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5.公用工程</w:t>
            </w:r>
          </w:p>
          <w:p w14:paraId="5846493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供电</w:t>
            </w:r>
          </w:p>
          <w:p w14:paraId="3ED7E06F">
            <w:pPr>
              <w:pStyle w:val="2"/>
              <w:keepNext w:val="0"/>
              <w:keepLines w:val="0"/>
              <w:pageBreakBefore w:val="0"/>
              <w:widowControl w:val="0"/>
              <w:kinsoku/>
              <w:wordWrap/>
              <w:overflowPunct/>
              <w:topLinePunct w:val="0"/>
              <w:autoSpaceDE/>
              <w:autoSpaceDN/>
              <w:bidi w:val="0"/>
              <w:adjustRightInd w:val="0"/>
              <w:snapToGrid w:val="0"/>
              <w:spacing w:before="0" w:after="0" w:line="360" w:lineRule="auto"/>
              <w:ind w:left="0" w:leftChars="0" w:right="0" w:firstLine="480" w:firstLineChars="200"/>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本项目用电来自当地电网</w:t>
            </w:r>
            <w:r>
              <w:rPr>
                <w:rFonts w:hint="default" w:ascii="Times New Roman" w:hAnsi="Times New Roman" w:eastAsia="宋体" w:cs="Times New Roman"/>
                <w:b w:val="0"/>
                <w:bCs/>
                <w:color w:val="auto"/>
                <w:sz w:val="24"/>
                <w:highlight w:val="none"/>
              </w:rPr>
              <w:t>。</w:t>
            </w:r>
          </w:p>
          <w:p w14:paraId="4CA2788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给排水</w:t>
            </w:r>
          </w:p>
          <w:p w14:paraId="77C7AD9E">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both"/>
              <w:textAlignment w:val="auto"/>
              <w:rPr>
                <w:rFonts w:hint="default" w:ascii="Times New Roman" w:hAnsi="Times New Roman" w:cs="Times New Roman"/>
                <w:b w:val="0"/>
                <w:bCs/>
                <w:color w:val="auto"/>
                <w:sz w:val="24"/>
                <w:szCs w:val="24"/>
                <w:highlight w:val="none"/>
                <w:lang w:val="en-US" w:eastAsia="zh-CN"/>
              </w:rPr>
            </w:pPr>
            <w:r>
              <w:rPr>
                <w:rFonts w:hint="eastAsia" w:ascii="Times New Roman" w:hAnsi="Times New Roman" w:cs="Times New Roman"/>
                <w:b w:val="0"/>
                <w:bCs/>
                <w:color w:val="auto"/>
                <w:sz w:val="24"/>
                <w:szCs w:val="24"/>
                <w:highlight w:val="none"/>
                <w:lang w:val="en-US" w:eastAsia="zh-CN"/>
              </w:rPr>
              <w:t>本项目</w:t>
            </w:r>
            <w:r>
              <w:rPr>
                <w:rFonts w:hint="default" w:ascii="Times New Roman" w:hAnsi="Times New Roman" w:cs="Times New Roman"/>
                <w:b w:val="0"/>
                <w:bCs/>
                <w:color w:val="auto"/>
                <w:sz w:val="24"/>
                <w:szCs w:val="24"/>
                <w:highlight w:val="none"/>
                <w:lang w:val="en-US" w:eastAsia="zh-CN"/>
              </w:rPr>
              <w:t>生产过程中</w:t>
            </w:r>
            <w:r>
              <w:rPr>
                <w:rFonts w:hint="eastAsia" w:ascii="Times New Roman" w:hAnsi="Times New Roman" w:cs="Times New Roman"/>
                <w:b w:val="0"/>
                <w:bCs/>
                <w:color w:val="auto"/>
                <w:sz w:val="24"/>
                <w:szCs w:val="24"/>
                <w:highlight w:val="none"/>
                <w:lang w:val="en-US" w:eastAsia="zh-CN"/>
              </w:rPr>
              <w:t>无需用水</w:t>
            </w:r>
            <w:r>
              <w:rPr>
                <w:rFonts w:hint="default" w:ascii="Times New Roman" w:hAnsi="Times New Roman" w:cs="Times New Roman"/>
                <w:b w:val="0"/>
                <w:bCs/>
                <w:color w:val="auto"/>
                <w:sz w:val="24"/>
                <w:szCs w:val="24"/>
                <w:highlight w:val="none"/>
                <w:lang w:val="en-US" w:eastAsia="zh-CN"/>
              </w:rPr>
              <w:t>。</w:t>
            </w:r>
            <w:r>
              <w:rPr>
                <w:rFonts w:hint="eastAsia" w:ascii="Times New Roman" w:hAnsi="Times New Roman" w:cs="Times New Roman"/>
                <w:b w:val="0"/>
                <w:bCs/>
                <w:color w:val="auto"/>
                <w:sz w:val="24"/>
                <w:szCs w:val="24"/>
                <w:highlight w:val="none"/>
                <w:lang w:val="en-US" w:eastAsia="zh-CN"/>
              </w:rPr>
              <w:t>日常生产用水环节为员工生活用水。本项目用水由市政供水管网供给。</w:t>
            </w:r>
            <w:r>
              <w:rPr>
                <w:rFonts w:hint="default" w:ascii="Times New Roman" w:hAnsi="Times New Roman" w:cs="Times New Roman"/>
                <w:b w:val="0"/>
                <w:bCs/>
                <w:color w:val="auto"/>
                <w:highlight w:val="none"/>
                <w:lang w:val="en-US" w:eastAsia="zh-CN"/>
              </w:rPr>
              <w:t>本项目共有员工</w:t>
            </w:r>
            <w:r>
              <w:rPr>
                <w:rFonts w:hint="eastAsia" w:ascii="Times New Roman" w:hAnsi="Times New Roman" w:cs="Times New Roman"/>
                <w:b w:val="0"/>
                <w:bCs/>
                <w:color w:val="auto"/>
                <w:highlight w:val="none"/>
                <w:lang w:val="en-US" w:eastAsia="zh-CN"/>
              </w:rPr>
              <w:t>25</w:t>
            </w:r>
            <w:r>
              <w:rPr>
                <w:rFonts w:hint="default" w:ascii="Times New Roman" w:hAnsi="Times New Roman" w:cs="Times New Roman"/>
                <w:b w:val="0"/>
                <w:bCs/>
                <w:color w:val="auto"/>
                <w:highlight w:val="none"/>
                <w:lang w:val="en-US" w:eastAsia="zh-CN"/>
              </w:rPr>
              <w:t>人，</w:t>
            </w:r>
            <w:r>
              <w:rPr>
                <w:rFonts w:hint="eastAsia" w:ascii="Times New Roman" w:hAnsi="Times New Roman" w:cs="Times New Roman"/>
                <w:b w:val="0"/>
                <w:bCs/>
                <w:color w:val="auto"/>
                <w:highlight w:val="none"/>
                <w:lang w:val="en-US" w:eastAsia="zh-CN"/>
              </w:rPr>
              <w:t>一</w:t>
            </w:r>
            <w:r>
              <w:rPr>
                <w:rFonts w:hint="default" w:ascii="Times New Roman" w:hAnsi="Times New Roman" w:cs="Times New Roman"/>
                <w:b w:val="0"/>
                <w:bCs/>
                <w:color w:val="auto"/>
                <w:highlight w:val="none"/>
                <w:lang w:val="en-US" w:eastAsia="zh-CN"/>
              </w:rPr>
              <w:t>班制，每班工作8h，</w:t>
            </w:r>
            <w:r>
              <w:rPr>
                <w:rFonts w:hint="eastAsia" w:ascii="Times New Roman" w:hAnsi="Times New Roman" w:cs="Times New Roman"/>
                <w:b w:val="0"/>
                <w:bCs/>
                <w:color w:val="auto"/>
                <w:highlight w:val="none"/>
                <w:lang w:val="en-US" w:eastAsia="zh-CN"/>
              </w:rPr>
              <w:t>每年工作330d，</w:t>
            </w:r>
            <w:r>
              <w:rPr>
                <w:rFonts w:hint="default" w:ascii="Times New Roman" w:hAnsi="Times New Roman" w:eastAsia="宋体" w:cs="Times New Roman"/>
                <w:b w:val="0"/>
                <w:bCs/>
                <w:color w:val="auto"/>
                <w:sz w:val="24"/>
                <w:szCs w:val="24"/>
                <w:highlight w:val="none"/>
                <w:lang w:val="en-US" w:eastAsia="zh-CN"/>
              </w:rPr>
              <w:t>本项目员工生活用水参照</w:t>
            </w:r>
            <w:r>
              <w:rPr>
                <w:rFonts w:hint="default" w:ascii="Times New Roman" w:hAnsi="Times New Roman" w:cs="Times New Roman"/>
                <w:b w:val="0"/>
                <w:bCs/>
                <w:color w:val="auto"/>
                <w:sz w:val="24"/>
                <w:highlight w:val="none"/>
              </w:rPr>
              <w:t>参考《辽宁省行业用水定额》（DB21/T1237-2020）</w:t>
            </w:r>
            <w:r>
              <w:rPr>
                <w:rFonts w:hint="default" w:ascii="Times New Roman" w:hAnsi="Times New Roman" w:cs="Times New Roman"/>
                <w:b w:val="0"/>
                <w:bCs/>
                <w:color w:val="auto"/>
                <w:sz w:val="24"/>
                <w:highlight w:val="none"/>
                <w:lang w:eastAsia="zh-CN"/>
              </w:rPr>
              <w:t>：</w:t>
            </w:r>
            <w:r>
              <w:rPr>
                <w:rFonts w:hint="default" w:ascii="Times New Roman" w:hAnsi="Times New Roman" w:cs="Times New Roman"/>
                <w:b w:val="0"/>
                <w:bCs/>
                <w:color w:val="auto"/>
                <w:sz w:val="24"/>
                <w:highlight w:val="none"/>
              </w:rPr>
              <w:t>表176城镇居民生活用水定额，用水定额按45L·人/d计算</w:t>
            </w: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生活用水量为</w:t>
            </w:r>
            <w:r>
              <w:rPr>
                <w:rFonts w:hint="eastAsia" w:ascii="Times New Roman" w:hAnsi="Times New Roman" w:cs="Times New Roman"/>
                <w:b w:val="0"/>
                <w:bCs/>
                <w:color w:val="auto"/>
                <w:sz w:val="24"/>
                <w:szCs w:val="24"/>
                <w:highlight w:val="none"/>
                <w:lang w:val="en-US" w:eastAsia="zh-CN"/>
              </w:rPr>
              <w:t>1.13</w:t>
            </w:r>
            <w:r>
              <w:rPr>
                <w:rFonts w:hint="default" w:ascii="Times New Roman" w:hAnsi="Times New Roman" w:cs="Times New Roman"/>
                <w:b w:val="0"/>
                <w:bCs/>
                <w:color w:val="auto"/>
                <w:sz w:val="24"/>
                <w:szCs w:val="24"/>
                <w:highlight w:val="none"/>
                <w:lang w:val="en-US" w:eastAsia="zh-CN"/>
              </w:rPr>
              <w:t>m</w:t>
            </w:r>
            <w:r>
              <w:rPr>
                <w:rFonts w:hint="default" w:ascii="Times New Roman" w:hAnsi="Times New Roman" w:cs="Times New Roman"/>
                <w:b w:val="0"/>
                <w:bCs/>
                <w:color w:val="auto"/>
                <w:sz w:val="24"/>
                <w:szCs w:val="24"/>
                <w:highlight w:val="none"/>
                <w:vertAlign w:val="superscript"/>
                <w:lang w:val="en-US" w:eastAsia="zh-CN"/>
              </w:rPr>
              <w:t>3</w:t>
            </w:r>
            <w:r>
              <w:rPr>
                <w:rFonts w:hint="default" w:ascii="Times New Roman" w:hAnsi="Times New Roman" w:cs="Times New Roman"/>
                <w:b w:val="0"/>
                <w:bCs/>
                <w:color w:val="auto"/>
                <w:sz w:val="24"/>
                <w:szCs w:val="24"/>
                <w:highlight w:val="none"/>
                <w:lang w:val="en-US" w:eastAsia="zh-CN"/>
              </w:rPr>
              <w:t>/d，</w:t>
            </w:r>
            <w:r>
              <w:rPr>
                <w:rFonts w:hint="eastAsia" w:ascii="Times New Roman" w:hAnsi="Times New Roman" w:cs="Times New Roman"/>
                <w:b w:val="0"/>
                <w:bCs/>
                <w:color w:val="auto"/>
                <w:sz w:val="24"/>
                <w:szCs w:val="24"/>
                <w:highlight w:val="none"/>
                <w:lang w:val="en-US" w:eastAsia="zh-CN"/>
              </w:rPr>
              <w:t>372.9</w:t>
            </w:r>
            <w:r>
              <w:rPr>
                <w:rFonts w:hint="default" w:ascii="Times New Roman" w:hAnsi="Times New Roman" w:eastAsia="宋体" w:cs="Times New Roman"/>
                <w:b w:val="0"/>
                <w:bCs/>
                <w:color w:val="auto"/>
                <w:sz w:val="24"/>
                <w:szCs w:val="24"/>
                <w:highlight w:val="none"/>
                <w:lang w:val="en-US" w:eastAsia="zh-CN"/>
              </w:rPr>
              <w:t>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lang w:val="en-US" w:eastAsia="zh-CN"/>
              </w:rPr>
              <w:t>/a，排水量按80%计算，为</w:t>
            </w:r>
            <w:r>
              <w:rPr>
                <w:rFonts w:hint="eastAsia" w:ascii="Times New Roman" w:hAnsi="Times New Roman" w:cs="Times New Roman"/>
                <w:b w:val="0"/>
                <w:bCs/>
                <w:color w:val="auto"/>
                <w:sz w:val="24"/>
                <w:szCs w:val="24"/>
                <w:highlight w:val="none"/>
                <w:lang w:val="en-US" w:eastAsia="zh-CN"/>
              </w:rPr>
              <w:t>0.904</w:t>
            </w:r>
            <w:r>
              <w:rPr>
                <w:rFonts w:hint="default" w:ascii="Times New Roman" w:hAnsi="Times New Roman" w:cs="Times New Roman"/>
                <w:b w:val="0"/>
                <w:bCs/>
                <w:color w:val="auto"/>
                <w:sz w:val="24"/>
                <w:szCs w:val="24"/>
                <w:highlight w:val="none"/>
                <w:lang w:val="en-US" w:eastAsia="zh-CN"/>
              </w:rPr>
              <w:t>m</w:t>
            </w:r>
            <w:r>
              <w:rPr>
                <w:rFonts w:hint="default" w:ascii="Times New Roman" w:hAnsi="Times New Roman" w:cs="Times New Roman"/>
                <w:b w:val="0"/>
                <w:bCs/>
                <w:color w:val="auto"/>
                <w:sz w:val="24"/>
                <w:szCs w:val="24"/>
                <w:highlight w:val="none"/>
                <w:vertAlign w:val="superscript"/>
                <w:lang w:val="en-US" w:eastAsia="zh-CN"/>
              </w:rPr>
              <w:t>3</w:t>
            </w:r>
            <w:r>
              <w:rPr>
                <w:rFonts w:hint="default" w:ascii="Times New Roman" w:hAnsi="Times New Roman" w:cs="Times New Roman"/>
                <w:b w:val="0"/>
                <w:bCs/>
                <w:color w:val="auto"/>
                <w:sz w:val="24"/>
                <w:szCs w:val="24"/>
                <w:highlight w:val="none"/>
                <w:lang w:val="en-US" w:eastAsia="zh-CN"/>
              </w:rPr>
              <w:t>/d，</w:t>
            </w:r>
            <w:r>
              <w:rPr>
                <w:rFonts w:hint="eastAsia" w:ascii="Times New Roman" w:hAnsi="Times New Roman" w:cs="Times New Roman"/>
                <w:b w:val="0"/>
                <w:bCs/>
                <w:color w:val="auto"/>
                <w:sz w:val="24"/>
                <w:szCs w:val="24"/>
                <w:highlight w:val="none"/>
                <w:lang w:val="en-US" w:eastAsia="zh-CN"/>
              </w:rPr>
              <w:t>298.3</w:t>
            </w:r>
            <w:r>
              <w:rPr>
                <w:rFonts w:hint="default" w:ascii="Times New Roman" w:hAnsi="Times New Roman" w:eastAsia="宋体" w:cs="Times New Roman"/>
                <w:b w:val="0"/>
                <w:bCs/>
                <w:color w:val="auto"/>
                <w:sz w:val="24"/>
                <w:szCs w:val="24"/>
                <w:highlight w:val="none"/>
                <w:lang w:val="en-US" w:eastAsia="zh-CN"/>
              </w:rPr>
              <w:t>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lang w:val="en-US" w:eastAsia="zh-CN"/>
              </w:rPr>
              <w:t>/a，生活污水</w:t>
            </w:r>
            <w:r>
              <w:rPr>
                <w:rFonts w:hint="default" w:ascii="Times New Roman" w:hAnsi="Times New Roman" w:eastAsia="宋体" w:cs="Times New Roman"/>
                <w:b w:val="0"/>
                <w:bCs/>
                <w:color w:val="auto"/>
                <w:kern w:val="2"/>
                <w:sz w:val="24"/>
                <w:szCs w:val="24"/>
                <w:highlight w:val="none"/>
                <w:lang w:val="en-US" w:eastAsia="zh-CN" w:bidi="ar-SA"/>
              </w:rPr>
              <w:t>排入</w:t>
            </w:r>
            <w:r>
              <w:rPr>
                <w:rFonts w:hint="eastAsia" w:ascii="Times New Roman" w:hAnsi="Times New Roman" w:eastAsia="宋体" w:cs="Times New Roman"/>
                <w:b w:val="0"/>
                <w:bCs/>
                <w:color w:val="auto"/>
                <w:kern w:val="2"/>
                <w:sz w:val="24"/>
                <w:szCs w:val="24"/>
                <w:highlight w:val="none"/>
                <w:lang w:val="en-US" w:eastAsia="zh-CN" w:bidi="ar-SA"/>
              </w:rPr>
              <w:t>厂区</w:t>
            </w:r>
            <w:r>
              <w:rPr>
                <w:rFonts w:hint="default" w:ascii="Times New Roman" w:hAnsi="Times New Roman" w:eastAsia="宋体" w:cs="Times New Roman"/>
                <w:b w:val="0"/>
                <w:bCs/>
                <w:color w:val="auto"/>
                <w:kern w:val="2"/>
                <w:sz w:val="24"/>
                <w:szCs w:val="24"/>
                <w:highlight w:val="none"/>
                <w:lang w:val="en-US" w:eastAsia="zh-CN" w:bidi="ar-SA"/>
              </w:rPr>
              <w:t>化粪池，经化粪池处理后排污市政下水管网，最终进入</w:t>
            </w:r>
            <w:r>
              <w:rPr>
                <w:rFonts w:hint="eastAsia" w:ascii="Times New Roman" w:hAnsi="Times New Roman" w:eastAsia="宋体" w:cs="Times New Roman"/>
                <w:b w:val="0"/>
                <w:bCs/>
                <w:color w:val="auto"/>
                <w:kern w:val="2"/>
                <w:sz w:val="24"/>
                <w:szCs w:val="24"/>
                <w:highlight w:val="none"/>
                <w:lang w:val="en-US" w:eastAsia="zh-CN" w:bidi="ar-SA"/>
              </w:rPr>
              <w:t>城镇污水处理厂</w:t>
            </w:r>
            <w:r>
              <w:rPr>
                <w:rFonts w:hint="default" w:ascii="Times New Roman" w:hAnsi="Times New Roman" w:eastAsia="宋体" w:cs="Times New Roman"/>
                <w:b w:val="0"/>
                <w:bCs/>
                <w:color w:val="auto"/>
                <w:kern w:val="2"/>
                <w:sz w:val="24"/>
                <w:szCs w:val="24"/>
                <w:highlight w:val="none"/>
                <w:lang w:val="en-US" w:eastAsia="zh-CN" w:bidi="ar-SA"/>
              </w:rPr>
              <w:t>。</w:t>
            </w:r>
          </w:p>
          <w:p w14:paraId="4E528163">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供暖</w:t>
            </w:r>
          </w:p>
          <w:p w14:paraId="4118D16A">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本项目生产车间无需供暖，办公休息区为电取暖</w:t>
            </w:r>
            <w:r>
              <w:rPr>
                <w:rFonts w:hint="default" w:ascii="Times New Roman" w:hAnsi="Times New Roman" w:eastAsia="宋体" w:cs="Times New Roman"/>
                <w:b w:val="0"/>
                <w:bCs/>
                <w:color w:val="auto"/>
                <w:sz w:val="24"/>
                <w:szCs w:val="24"/>
                <w:highlight w:val="none"/>
                <w:lang w:val="en-US" w:eastAsia="zh-CN"/>
              </w:rPr>
              <w:t>。</w:t>
            </w:r>
          </w:p>
          <w:p w14:paraId="6E223AE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t>劳动定员与</w:t>
            </w:r>
            <w:r>
              <w:rPr>
                <w:rFonts w:hint="eastAsia" w:ascii="Times New Roman" w:hAnsi="Times New Roman" w:eastAsia="宋体" w:cs="Times New Roman"/>
                <w:b w:val="0"/>
                <w:bCs/>
                <w:color w:val="auto"/>
                <w:sz w:val="24"/>
                <w:szCs w:val="24"/>
                <w:highlight w:val="none"/>
                <w:lang w:val="en-US" w:eastAsia="zh-CN"/>
              </w:rPr>
              <w:t>工作制度</w:t>
            </w:r>
          </w:p>
          <w:p w14:paraId="21BAD66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default" w:ascii="宋体" w:hAnsi="宋体" w:eastAsia="宋体" w:cs="宋体"/>
                <w:b w:val="0"/>
                <w:bCs/>
                <w:color w:val="auto"/>
                <w:sz w:val="24"/>
                <w:szCs w:val="24"/>
                <w:highlight w:val="green"/>
                <w:lang w:val="en-US" w:eastAsia="zh-CN"/>
              </w:rPr>
            </w:pPr>
            <w:r>
              <w:rPr>
                <w:rFonts w:hint="default" w:ascii="Times New Roman" w:hAnsi="Times New Roman" w:eastAsia="宋体" w:cs="Times New Roman"/>
                <w:b w:val="0"/>
                <w:bCs/>
                <w:color w:val="auto"/>
                <w:sz w:val="24"/>
                <w:szCs w:val="24"/>
                <w:highlight w:val="none"/>
                <w:lang w:val="en-US" w:eastAsia="zh-CN"/>
              </w:rPr>
              <w:t>企业</w:t>
            </w:r>
            <w:r>
              <w:rPr>
                <w:rFonts w:hint="eastAsia" w:ascii="Times New Roman" w:hAnsi="Times New Roman" w:eastAsia="宋体" w:cs="Times New Roman"/>
                <w:b w:val="0"/>
                <w:bCs/>
                <w:color w:val="auto"/>
                <w:sz w:val="24"/>
                <w:szCs w:val="24"/>
                <w:highlight w:val="none"/>
                <w:lang w:val="en-US" w:eastAsia="zh-CN"/>
              </w:rPr>
              <w:t>劳动定员25</w:t>
            </w:r>
            <w:r>
              <w:rPr>
                <w:rFonts w:hint="default" w:ascii="Times New Roman" w:hAnsi="Times New Roman" w:eastAsia="宋体" w:cs="Times New Roman"/>
                <w:b w:val="0"/>
                <w:bCs/>
                <w:color w:val="auto"/>
                <w:sz w:val="24"/>
                <w:szCs w:val="24"/>
                <w:highlight w:val="none"/>
                <w:lang w:val="en-US" w:eastAsia="zh-CN"/>
              </w:rPr>
              <w:t>人，</w:t>
            </w:r>
            <w:r>
              <w:rPr>
                <w:rFonts w:hint="eastAsia" w:ascii="Times New Roman" w:hAnsi="Times New Roman" w:eastAsia="宋体" w:cs="Times New Roman"/>
                <w:b w:val="0"/>
                <w:bCs/>
                <w:color w:val="auto"/>
                <w:sz w:val="24"/>
                <w:szCs w:val="24"/>
                <w:highlight w:val="none"/>
                <w:lang w:val="en-US" w:eastAsia="zh-CN"/>
              </w:rPr>
              <w:t>年工作330天，每天工作8小时</w:t>
            </w:r>
            <w:r>
              <w:rPr>
                <w:rFonts w:hint="default" w:ascii="Times New Roman" w:hAnsi="Times New Roman" w:eastAsia="宋体" w:cs="Times New Roman"/>
                <w:b w:val="0"/>
                <w:bCs/>
                <w:color w:val="auto"/>
                <w:sz w:val="24"/>
                <w:szCs w:val="24"/>
                <w:highlight w:val="none"/>
                <w:lang w:val="en-US" w:eastAsia="zh-CN"/>
              </w:rPr>
              <w:t>。</w:t>
            </w:r>
          </w:p>
        </w:tc>
      </w:tr>
      <w:tr w14:paraId="5332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5" w:hRule="atLeast"/>
        </w:trPr>
        <w:tc>
          <w:tcPr>
            <w:tcW w:w="497" w:type="dxa"/>
            <w:vAlign w:val="center"/>
          </w:tcPr>
          <w:p w14:paraId="74AED806">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olor w:val="auto"/>
                <w:highlight w:val="none"/>
                <w:vertAlign w:val="baseline"/>
                <w:lang w:val="en-US" w:eastAsia="zh-CN"/>
              </w:rPr>
            </w:pPr>
            <w:r>
              <w:rPr>
                <w:rFonts w:hint="eastAsia" w:ascii="Times New Roman" w:hAnsi="Times New Roman" w:eastAsia="宋体" w:cs="Times New Roman"/>
                <w:color w:val="auto"/>
                <w:kern w:val="2"/>
                <w:sz w:val="24"/>
                <w:szCs w:val="22"/>
                <w:highlight w:val="none"/>
                <w:lang w:val="en-US" w:eastAsia="zh-CN" w:bidi="ar-SA"/>
              </w:rPr>
              <w:t>工艺流程和产排污环节</w:t>
            </w:r>
          </w:p>
        </w:tc>
        <w:tc>
          <w:tcPr>
            <w:tcW w:w="8025" w:type="dxa"/>
          </w:tcPr>
          <w:p w14:paraId="45FAA1DF">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2.1施工期</w:t>
            </w:r>
          </w:p>
          <w:p w14:paraId="4FDBC3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cs="Times New Roman"/>
                <w:color w:val="auto"/>
                <w:sz w:val="24"/>
                <w:highlight w:val="none"/>
                <w:lang w:val="en-US" w:eastAsia="zh-CN"/>
              </w:rPr>
            </w:pPr>
            <w:r>
              <w:rPr>
                <w:rFonts w:hint="eastAsia" w:cs="Times New Roman"/>
                <w:color w:val="auto"/>
                <w:sz w:val="24"/>
                <w:highlight w:val="none"/>
                <w:lang w:eastAsia="zh-CN"/>
              </w:rPr>
              <w:t>本项目在</w:t>
            </w:r>
            <w:r>
              <w:rPr>
                <w:rFonts w:hint="default" w:ascii="Times New Roman" w:hAnsi="Times New Roman" w:cs="Times New Roman" w:eastAsiaTheme="minorEastAsia"/>
                <w:color w:val="auto"/>
                <w:kern w:val="18"/>
                <w:sz w:val="24"/>
                <w:szCs w:val="20"/>
                <w:lang w:val="en-US" w:eastAsia="zh-CN" w:bidi="ar-SA"/>
              </w:rPr>
              <w:t>辽宁泰都医用液态氧制造有限公司厂区闲置厂房</w:t>
            </w:r>
            <w:r>
              <w:rPr>
                <w:rFonts w:hint="eastAsia" w:cs="Times New Roman"/>
                <w:color w:val="auto"/>
                <w:sz w:val="24"/>
                <w:highlight w:val="none"/>
                <w:lang w:val="en-US" w:eastAsia="zh-CN"/>
              </w:rPr>
              <w:t>进行项目建设，施工期主要进行储罐安装以及车间内生产设施等安装施工。</w:t>
            </w:r>
          </w:p>
          <w:p w14:paraId="215605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设备安装等工序将产生扬尘、固体废弃物、废水及噪声等污染物。项目施工期较短，且产生的影响随着施工的结束而消失，施工期工艺流程及排污节点见</w:t>
            </w:r>
            <w:r>
              <w:rPr>
                <w:rFonts w:hint="eastAsia" w:cs="Times New Roman"/>
                <w:color w:val="auto"/>
                <w:sz w:val="24"/>
                <w:szCs w:val="24"/>
                <w:highlight w:val="none"/>
                <w:lang w:val="en-US" w:eastAsia="zh-CN"/>
              </w:rPr>
              <w:t>下图</w:t>
            </w:r>
            <w:r>
              <w:rPr>
                <w:rFonts w:hint="default" w:ascii="Times New Roman" w:hAnsi="Times New Roman" w:cs="Times New Roman"/>
                <w:color w:val="auto"/>
                <w:sz w:val="24"/>
                <w:szCs w:val="24"/>
                <w:highlight w:val="none"/>
              </w:rPr>
              <w:t>。</w:t>
            </w:r>
          </w:p>
          <w:p w14:paraId="2B9029B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color w:val="auto"/>
              </w:rPr>
            </w:pPr>
            <w:r>
              <w:rPr>
                <w:color w:val="auto"/>
              </w:rPr>
              <w:drawing>
                <wp:inline distT="0" distB="0" distL="114300" distR="114300">
                  <wp:extent cx="4043680" cy="1957070"/>
                  <wp:effectExtent l="0" t="0" r="13970" b="508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
                          <a:stretch>
                            <a:fillRect/>
                          </a:stretch>
                        </pic:blipFill>
                        <pic:spPr>
                          <a:xfrm>
                            <a:off x="0" y="0"/>
                            <a:ext cx="4043680" cy="1957070"/>
                          </a:xfrm>
                          <a:prstGeom prst="rect">
                            <a:avLst/>
                          </a:prstGeom>
                          <a:noFill/>
                          <a:ln>
                            <a:noFill/>
                          </a:ln>
                        </pic:spPr>
                      </pic:pic>
                    </a:graphicData>
                  </a:graphic>
                </wp:inline>
              </w:drawing>
            </w:r>
          </w:p>
          <w:p w14:paraId="30037B4A">
            <w:pPr>
              <w:pStyle w:val="8"/>
              <w:bidi w:val="0"/>
              <w:ind w:left="0" w:leftChars="0" w:firstLine="0" w:firstLineChars="0"/>
              <w:jc w:val="center"/>
              <w:rPr>
                <w:rFonts w:hint="default" w:ascii="Times New Roman" w:hAnsi="Times New Roman" w:cs="Times New Roman"/>
                <w:color w:val="auto"/>
                <w:highlight w:val="none"/>
              </w:rPr>
            </w:pPr>
            <w:r>
              <w:rPr>
                <w:rFonts w:hint="eastAsia" w:ascii="黑体" w:hAnsi="黑体" w:eastAsia="黑体" w:cs="黑体"/>
                <w:b w:val="0"/>
                <w:bCs/>
                <w:color w:val="auto"/>
                <w:sz w:val="21"/>
                <w:szCs w:val="21"/>
                <w:lang w:val="en-US" w:eastAsia="zh-CN"/>
              </w:rPr>
              <w:t>图2-1施工期工艺流程及产污节点图</w:t>
            </w:r>
          </w:p>
          <w:p w14:paraId="1A00EB0B">
            <w:pPr>
              <w:pStyle w:val="8"/>
              <w:bidi w:val="0"/>
              <w:rPr>
                <w:rFonts w:hint="default" w:ascii="Times New Roman" w:hAnsi="Times New Roman" w:cs="Times New Roman"/>
                <w:color w:val="auto"/>
                <w:highlight w:val="red"/>
              </w:rPr>
            </w:pPr>
            <w:r>
              <w:rPr>
                <w:rFonts w:hint="default" w:ascii="Times New Roman" w:hAnsi="Times New Roman" w:cs="Times New Roman"/>
                <w:color w:val="auto"/>
                <w:highlight w:val="none"/>
              </w:rPr>
              <w:t>2.2工艺流程和产排污环节</w:t>
            </w:r>
          </w:p>
          <w:p w14:paraId="52B25F3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cs="Times New Roman"/>
                <w:color w:val="auto"/>
                <w:sz w:val="24"/>
                <w:szCs w:val="24"/>
                <w:lang w:val="en-US" w:eastAsia="zh-CN"/>
              </w:rPr>
              <w:t>原料进场卸车</w:t>
            </w:r>
          </w:p>
          <w:p w14:paraId="3AD963F9">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default" w:ascii="Times New Roman" w:hAnsi="Times New Roman" w:eastAsia="宋体" w:cs="Times New Roman"/>
                <w:color w:val="000000"/>
                <w:spacing w:val="0"/>
                <w:position w:val="0"/>
                <w:sz w:val="24"/>
                <w:szCs w:val="24"/>
                <w:lang w:val="en-US" w:eastAsia="zh-CN"/>
              </w:rPr>
              <w:t>本项目</w:t>
            </w:r>
            <w:r>
              <w:rPr>
                <w:rFonts w:hint="default" w:ascii="Times New Roman" w:hAnsi="Times New Roman" w:eastAsia="宋体" w:cs="Times New Roman"/>
                <w:color w:val="000000"/>
                <w:spacing w:val="0"/>
                <w:position w:val="0"/>
                <w:sz w:val="24"/>
                <w:szCs w:val="24"/>
              </w:rPr>
              <w:t>原料包括液氮、液态二氧化碳、液一氧化二氮。运输方式为槽车运输。原料卸车依靠车带泵。</w:t>
            </w:r>
          </w:p>
          <w:p w14:paraId="0D50242C">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default" w:ascii="Times New Roman" w:hAnsi="Times New Roman" w:eastAsia="宋体" w:cs="Times New Roman"/>
                <w:color w:val="000000"/>
                <w:spacing w:val="0"/>
                <w:position w:val="0"/>
                <w:sz w:val="24"/>
                <w:szCs w:val="24"/>
              </w:rPr>
              <w:t>液氮</w:t>
            </w:r>
            <w:r>
              <w:rPr>
                <w:rFonts w:hint="eastAsia" w:ascii="Times New Roman" w:hAnsi="Times New Roman" w:eastAsia="宋体" w:cs="Times New Roman"/>
                <w:color w:val="000000"/>
                <w:spacing w:val="0"/>
                <w:position w:val="0"/>
                <w:sz w:val="24"/>
                <w:szCs w:val="24"/>
                <w:lang w:eastAsia="zh-CN"/>
              </w:rPr>
              <w:t>、</w:t>
            </w:r>
            <w:r>
              <w:rPr>
                <w:rFonts w:hint="default" w:ascii="Times New Roman" w:hAnsi="Times New Roman" w:eastAsia="宋体" w:cs="Times New Roman"/>
                <w:color w:val="000000"/>
                <w:spacing w:val="0"/>
                <w:position w:val="0"/>
                <w:sz w:val="24"/>
                <w:szCs w:val="24"/>
              </w:rPr>
              <w:t>液态二氧化碳、液一氧化二氮由低温液体槽车运至</w:t>
            </w:r>
            <w:r>
              <w:rPr>
                <w:rFonts w:hint="eastAsia" w:ascii="Times New Roman" w:hAnsi="Times New Roman" w:eastAsia="宋体" w:cs="Times New Roman"/>
                <w:color w:val="000000"/>
                <w:spacing w:val="0"/>
                <w:position w:val="0"/>
                <w:sz w:val="24"/>
                <w:szCs w:val="24"/>
                <w:lang w:val="en-US" w:eastAsia="zh-CN"/>
              </w:rPr>
              <w:t>本厂</w:t>
            </w:r>
            <w:r>
              <w:rPr>
                <w:rFonts w:hint="default" w:ascii="Times New Roman" w:hAnsi="Times New Roman" w:eastAsia="宋体" w:cs="Times New Roman"/>
                <w:color w:val="000000"/>
                <w:spacing w:val="0"/>
                <w:position w:val="0"/>
                <w:sz w:val="24"/>
                <w:szCs w:val="24"/>
              </w:rPr>
              <w:t>装卸区，车辆停车熄火，车轮垫防滑块，接好卸车软管，打开相关阀门，开启低温液体泵（槽车自带），将罐车内的液化气体卸入低温液体贮罐中储存。低温储罐设有安全阀，当罐内压力过高时开启泄压。</w:t>
            </w:r>
          </w:p>
          <w:p w14:paraId="105E0899">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eastAsia" w:ascii="Times New Roman" w:hAnsi="Times New Roman" w:eastAsia="宋体" w:cs="Times New Roman"/>
                <w:color w:val="000000"/>
                <w:spacing w:val="0"/>
                <w:position w:val="0"/>
                <w:sz w:val="24"/>
                <w:szCs w:val="24"/>
                <w:lang w:val="en-US" w:eastAsia="zh-CN"/>
              </w:rPr>
              <w:t>储罐为双层绝热结构，其内胆用于储存液氮、液二氧化碳</w:t>
            </w:r>
            <w:r>
              <w:rPr>
                <w:rFonts w:hint="eastAsia" w:ascii="Times New Roman" w:hAnsi="Times New Roman" w:cs="Times New Roman"/>
                <w:color w:val="000000"/>
                <w:spacing w:val="0"/>
                <w:position w:val="0"/>
                <w:sz w:val="24"/>
                <w:szCs w:val="24"/>
                <w:lang w:val="en-US" w:eastAsia="zh-CN"/>
              </w:rPr>
              <w:t>以及液一氧化二氮</w:t>
            </w:r>
            <w:r>
              <w:rPr>
                <w:rFonts w:hint="eastAsia" w:ascii="Times New Roman" w:hAnsi="Times New Roman" w:eastAsia="宋体" w:cs="Times New Roman"/>
                <w:color w:val="000000"/>
                <w:spacing w:val="0"/>
                <w:position w:val="0"/>
                <w:sz w:val="24"/>
                <w:szCs w:val="24"/>
                <w:lang w:val="en-US" w:eastAsia="zh-CN"/>
              </w:rPr>
              <w:t>，外胆为保护外壳，中间夹层的主要作用是实现绝热，以减少热量传入内胆导致气体蒸发。夹层中通常充填绝热材料珠光砂，并抽成高真空。珠光砂和高真空环境能有效阻止热量通过传导和对流的方式传递，从而保持气体的低温状态，减少气体因吸热汽化的损耗，起到缓冲、稳定供应的作用。</w:t>
            </w:r>
          </w:p>
          <w:p w14:paraId="3A8C5AF7">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lang w:val="en-US" w:eastAsia="zh-CN"/>
              </w:rPr>
            </w:pPr>
            <w:r>
              <w:rPr>
                <w:rFonts w:hint="default" w:ascii="Times New Roman" w:hAnsi="Times New Roman" w:eastAsia="宋体" w:cs="Times New Roman"/>
                <w:color w:val="000000"/>
                <w:spacing w:val="0"/>
                <w:position w:val="0"/>
                <w:sz w:val="24"/>
                <w:szCs w:val="24"/>
                <w:lang w:val="en-US" w:eastAsia="zh-CN"/>
              </w:rPr>
              <w:t>（2）气体充装</w:t>
            </w:r>
          </w:p>
          <w:p w14:paraId="3B0D621C">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eastAsia" w:ascii="Times New Roman" w:hAnsi="Times New Roman" w:eastAsia="宋体" w:cs="Times New Roman"/>
                <w:color w:val="000000"/>
                <w:spacing w:val="0"/>
                <w:position w:val="0"/>
                <w:sz w:val="24"/>
                <w:szCs w:val="24"/>
                <w:lang w:val="en-US" w:eastAsia="zh-CN"/>
              </w:rPr>
            </w:pPr>
            <w:r>
              <w:rPr>
                <w:rFonts w:hint="eastAsia" w:ascii="Times New Roman" w:hAnsi="Times New Roman" w:eastAsia="宋体" w:cs="Times New Roman"/>
                <w:color w:val="000000"/>
                <w:spacing w:val="0"/>
                <w:position w:val="0"/>
                <w:sz w:val="24"/>
                <w:szCs w:val="24"/>
                <w:lang w:val="en-US" w:eastAsia="zh-CN"/>
              </w:rPr>
              <w:t>本项目充装钢瓶均为进场前通过水压试验合格，且瓶壁无油污、腐蚀或其他杂质的钢瓶。进场钢瓶不需清洗，直接灌装。</w:t>
            </w:r>
          </w:p>
          <w:p w14:paraId="2F6990DE">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lang w:val="en-US" w:eastAsia="zh-CN"/>
              </w:rPr>
            </w:pPr>
            <w:r>
              <w:rPr>
                <w:rFonts w:hint="eastAsia" w:ascii="Times New Roman" w:hAnsi="Times New Roman" w:eastAsia="宋体" w:cs="Times New Roman"/>
                <w:color w:val="000000"/>
                <w:spacing w:val="0"/>
                <w:position w:val="0"/>
                <w:sz w:val="24"/>
                <w:szCs w:val="24"/>
                <w:lang w:val="en-US" w:eastAsia="zh-CN"/>
              </w:rPr>
              <w:t>厂内钢瓶检测为气密性检测，钢瓶</w:t>
            </w:r>
            <w:r>
              <w:rPr>
                <w:rFonts w:hint="default" w:ascii="Times New Roman" w:hAnsi="Times New Roman" w:eastAsia="宋体" w:cs="Times New Roman"/>
                <w:color w:val="000000"/>
                <w:spacing w:val="0"/>
                <w:position w:val="0"/>
                <w:sz w:val="24"/>
                <w:szCs w:val="24"/>
                <w:lang w:val="en-US" w:eastAsia="zh-CN"/>
              </w:rPr>
              <w:t>需要保证密闭性，检测时会采用专用的气体测漏报警仪对瓶身进行扫描检测，检测报警仪在检测到部分区域气体浓度较高的区域时会发出警报。气瓶检测过程主要产生废</w:t>
            </w:r>
            <w:r>
              <w:rPr>
                <w:rFonts w:hint="eastAsia" w:ascii="Times New Roman" w:hAnsi="Times New Roman" w:cs="Times New Roman"/>
                <w:color w:val="000000"/>
                <w:spacing w:val="0"/>
                <w:position w:val="0"/>
                <w:sz w:val="24"/>
                <w:szCs w:val="24"/>
                <w:lang w:val="en-US" w:eastAsia="zh-CN"/>
              </w:rPr>
              <w:t>钢</w:t>
            </w:r>
            <w:r>
              <w:rPr>
                <w:rFonts w:hint="default" w:ascii="Times New Roman" w:hAnsi="Times New Roman" w:eastAsia="宋体" w:cs="Times New Roman"/>
                <w:color w:val="000000"/>
                <w:spacing w:val="0"/>
                <w:position w:val="0"/>
                <w:sz w:val="24"/>
                <w:szCs w:val="24"/>
                <w:lang w:val="en-US" w:eastAsia="zh-CN"/>
              </w:rPr>
              <w:t>瓶。</w:t>
            </w:r>
          </w:p>
          <w:p w14:paraId="6DF210E1">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cs="Times New Roman"/>
                <w:sz w:val="24"/>
                <w:szCs w:val="24"/>
              </w:rPr>
            </w:pPr>
            <w:r>
              <w:rPr>
                <w:rFonts w:hint="default" w:ascii="Times New Roman" w:hAnsi="Times New Roman" w:eastAsia="宋体" w:cs="Times New Roman"/>
                <w:color w:val="000000"/>
                <w:spacing w:val="0"/>
                <w:position w:val="0"/>
                <w:sz w:val="24"/>
                <w:szCs w:val="24"/>
              </w:rPr>
              <w:t>①氮气充装流程</w:t>
            </w:r>
          </w:p>
          <w:p w14:paraId="32B602AA">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default" w:ascii="Times New Roman" w:hAnsi="Times New Roman" w:eastAsia="宋体" w:cs="Times New Roman"/>
                <w:color w:val="000000"/>
                <w:spacing w:val="0"/>
                <w:position w:val="0"/>
                <w:sz w:val="24"/>
                <w:szCs w:val="24"/>
              </w:rPr>
              <w:t>储罐内的液氮由低温泵送入汽化器气化后，充装入钢瓶内（压力15MPa）出售。充装管道设压力表声光报警装置，用于计压。充装时，当压力超过15MPa时，现场声光报警自动报警，自动停泵后充装人员关闭充装控制台总进气阀，然后手动逐只关闭钢瓶阀门，打开控制台排放阀门将充装管道及钢瓶连接软管释放到压力为零，拆除钢瓶，准备下一批充装。</w:t>
            </w:r>
          </w:p>
          <w:p w14:paraId="7E320FDF">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lang w:val="en-US" w:eastAsia="zh-CN"/>
              </w:rPr>
            </w:pPr>
            <w:r>
              <w:rPr>
                <w:rFonts w:hint="eastAsia" w:ascii="Times New Roman" w:hAnsi="Times New Roman" w:eastAsia="宋体" w:cs="Times New Roman"/>
                <w:color w:val="000000"/>
                <w:spacing w:val="0"/>
                <w:position w:val="0"/>
                <w:sz w:val="24"/>
                <w:szCs w:val="24"/>
                <w:lang w:val="en-US" w:eastAsia="zh-CN"/>
              </w:rPr>
              <w:t>低温液体槽车进场会产生运输噪声N1</w:t>
            </w:r>
            <w:r>
              <w:rPr>
                <w:rFonts w:hint="eastAsia" w:ascii="Times New Roman" w:hAnsi="Times New Roman" w:cs="Times New Roman"/>
                <w:color w:val="000000"/>
                <w:spacing w:val="0"/>
                <w:position w:val="0"/>
                <w:sz w:val="24"/>
                <w:szCs w:val="24"/>
                <w:lang w:val="en-US" w:eastAsia="zh-CN"/>
              </w:rPr>
              <w:t>，</w:t>
            </w:r>
            <w:r>
              <w:rPr>
                <w:rFonts w:hint="default" w:ascii="Times New Roman" w:hAnsi="Times New Roman" w:eastAsia="宋体" w:cs="Times New Roman"/>
                <w:color w:val="000000"/>
                <w:spacing w:val="0"/>
                <w:position w:val="0"/>
                <w:sz w:val="24"/>
                <w:szCs w:val="24"/>
              </w:rPr>
              <w:t>槽车转输至储罐时废气</w:t>
            </w:r>
            <w:r>
              <w:rPr>
                <w:rFonts w:hint="eastAsia" w:ascii="Times New Roman" w:hAnsi="Times New Roman" w:eastAsia="宋体" w:cs="Times New Roman"/>
                <w:color w:val="000000"/>
                <w:spacing w:val="0"/>
                <w:position w:val="0"/>
                <w:sz w:val="24"/>
                <w:szCs w:val="24"/>
                <w:lang w:val="en-US" w:eastAsia="zh-CN"/>
              </w:rPr>
              <w:t>G1</w:t>
            </w:r>
            <w:r>
              <w:rPr>
                <w:rFonts w:hint="eastAsia" w:ascii="Times New Roman" w:hAnsi="Times New Roman" w:cs="Times New Roman"/>
                <w:color w:val="000000"/>
                <w:spacing w:val="0"/>
                <w:position w:val="0"/>
                <w:sz w:val="24"/>
                <w:szCs w:val="24"/>
                <w:lang w:val="en-US" w:eastAsia="zh-CN"/>
              </w:rPr>
              <w:t>，充装过程会产生少量充装废气G2以及充装设备噪声N2，气密行检测过程会产生废钢瓶S1。</w:t>
            </w:r>
          </w:p>
          <w:p w14:paraId="3D47A682">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eastAsia" w:ascii="Times New Roman" w:hAnsi="Times New Roman" w:eastAsia="宋体" w:cs="Times New Roman"/>
                <w:color w:val="000000"/>
                <w:spacing w:val="0"/>
                <w:position w:val="0"/>
                <w:sz w:val="24"/>
                <w:szCs w:val="24"/>
                <w:lang w:val="en-US" w:eastAsia="zh-CN"/>
              </w:rPr>
            </w:pPr>
            <w:r>
              <w:rPr>
                <w:rFonts w:hint="eastAsia" w:ascii="Times New Roman" w:hAnsi="Times New Roman" w:eastAsia="宋体" w:cs="Times New Roman"/>
                <w:color w:val="000000"/>
                <w:spacing w:val="0"/>
                <w:position w:val="0"/>
                <w:sz w:val="24"/>
                <w:szCs w:val="24"/>
                <w:lang w:val="en-US" w:eastAsia="zh-CN"/>
              </w:rPr>
              <w:t>氮气充装工艺过程及产排污情况如下表所示。</w:t>
            </w:r>
          </w:p>
          <w:p w14:paraId="36B9CE10">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0" w:firstLineChars="0"/>
              <w:jc w:val="center"/>
              <w:textAlignment w:val="center"/>
            </w:pPr>
            <w:r>
              <w:drawing>
                <wp:inline distT="0" distB="0" distL="114300" distR="114300">
                  <wp:extent cx="4761230" cy="1489075"/>
                  <wp:effectExtent l="0" t="0" r="1270" b="158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4761230" cy="1489075"/>
                          </a:xfrm>
                          <a:prstGeom prst="rect">
                            <a:avLst/>
                          </a:prstGeom>
                          <a:noFill/>
                          <a:ln>
                            <a:noFill/>
                          </a:ln>
                        </pic:spPr>
                      </pic:pic>
                    </a:graphicData>
                  </a:graphic>
                </wp:inline>
              </w:drawing>
            </w:r>
          </w:p>
          <w:p w14:paraId="43D6A3DC">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0" w:firstLineChars="0"/>
              <w:jc w:val="center"/>
              <w:textAlignment w:val="center"/>
              <w:rPr>
                <w:rFonts w:hint="default" w:eastAsia="宋体"/>
                <w:lang w:val="en-US" w:eastAsia="zh-CN"/>
              </w:rPr>
            </w:pPr>
            <w:r>
              <w:rPr>
                <w:rFonts w:hint="eastAsia" w:ascii="黑体" w:hAnsi="黑体" w:eastAsia="黑体" w:cs="黑体"/>
                <w:sz w:val="21"/>
                <w:szCs w:val="21"/>
                <w:lang w:val="en-US" w:eastAsia="zh-CN"/>
              </w:rPr>
              <w:t>图2-2氮气充装</w:t>
            </w:r>
            <w:r>
              <w:rPr>
                <w:rFonts w:hint="eastAsia" w:ascii="黑体" w:hAnsi="黑体" w:eastAsia="黑体" w:cs="黑体"/>
                <w:color w:val="000000"/>
                <w:spacing w:val="0"/>
                <w:position w:val="0"/>
                <w:sz w:val="21"/>
                <w:szCs w:val="21"/>
                <w:lang w:val="en-US" w:eastAsia="zh-CN"/>
              </w:rPr>
              <w:t>工艺过程及产排污节点图</w:t>
            </w:r>
          </w:p>
          <w:p w14:paraId="0DFF400F">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cs="Times New Roman"/>
                <w:sz w:val="24"/>
                <w:szCs w:val="24"/>
              </w:rPr>
            </w:pPr>
            <w:r>
              <w:rPr>
                <w:rFonts w:hint="default" w:ascii="Times New Roman" w:hAnsi="Times New Roman" w:eastAsia="宋体" w:cs="Times New Roman"/>
                <w:color w:val="000000"/>
                <w:spacing w:val="0"/>
                <w:position w:val="0"/>
                <w:sz w:val="24"/>
                <w:szCs w:val="24"/>
              </w:rPr>
              <w:t>②</w:t>
            </w:r>
            <w:r>
              <w:rPr>
                <w:rFonts w:hint="eastAsia" w:ascii="Times New Roman" w:hAnsi="Times New Roman" w:eastAsia="宋体" w:cs="Times New Roman"/>
                <w:color w:val="000000"/>
                <w:spacing w:val="0"/>
                <w:position w:val="0"/>
                <w:sz w:val="24"/>
                <w:szCs w:val="24"/>
                <w:lang w:val="en-US" w:eastAsia="zh-CN"/>
              </w:rPr>
              <w:t>液</w:t>
            </w:r>
            <w:r>
              <w:rPr>
                <w:rFonts w:hint="default" w:ascii="Times New Roman" w:hAnsi="Times New Roman" w:eastAsia="宋体" w:cs="Times New Roman"/>
                <w:color w:val="000000"/>
                <w:spacing w:val="0"/>
                <w:position w:val="0"/>
                <w:sz w:val="24"/>
                <w:szCs w:val="24"/>
              </w:rPr>
              <w:t>二氧化碳充装流程</w:t>
            </w:r>
          </w:p>
          <w:p w14:paraId="7A9601D2">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default" w:ascii="Times New Roman" w:hAnsi="Times New Roman" w:eastAsia="宋体" w:cs="Times New Roman"/>
                <w:color w:val="000000"/>
                <w:spacing w:val="0"/>
                <w:position w:val="0"/>
                <w:sz w:val="24"/>
                <w:szCs w:val="24"/>
              </w:rPr>
              <w:t>储罐内的液二氧化碳由低温泵送入</w:t>
            </w:r>
            <w:r>
              <w:rPr>
                <w:rFonts w:hint="eastAsia" w:ascii="Times New Roman" w:hAnsi="Times New Roman" w:cs="Times New Roman"/>
                <w:color w:val="000000"/>
                <w:spacing w:val="0"/>
                <w:position w:val="0"/>
                <w:sz w:val="24"/>
                <w:szCs w:val="24"/>
                <w:lang w:val="en-US" w:eastAsia="zh-CN"/>
              </w:rPr>
              <w:t>汇流</w:t>
            </w:r>
            <w:r>
              <w:rPr>
                <w:rFonts w:hint="default" w:ascii="Times New Roman" w:hAnsi="Times New Roman" w:eastAsia="宋体" w:cs="Times New Roman"/>
                <w:color w:val="000000"/>
                <w:spacing w:val="0"/>
                <w:position w:val="0"/>
                <w:sz w:val="24"/>
                <w:szCs w:val="24"/>
              </w:rPr>
              <w:t>排，充装入钢瓶内（压力7MPa）出售。</w:t>
            </w:r>
          </w:p>
          <w:p w14:paraId="4896EFD8">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eastAsia" w:ascii="Times New Roman" w:hAnsi="Times New Roman" w:eastAsia="宋体" w:cs="Times New Roman"/>
                <w:color w:val="000000"/>
                <w:spacing w:val="0"/>
                <w:position w:val="0"/>
                <w:sz w:val="24"/>
                <w:szCs w:val="24"/>
                <w:lang w:val="en-US" w:eastAsia="zh-CN"/>
              </w:rPr>
              <w:t>低温液体槽车进场会产生运输噪声N</w:t>
            </w:r>
            <w:r>
              <w:rPr>
                <w:rFonts w:hint="eastAsia" w:ascii="Times New Roman" w:hAnsi="Times New Roman" w:cs="Times New Roman"/>
                <w:color w:val="000000"/>
                <w:spacing w:val="0"/>
                <w:position w:val="0"/>
                <w:sz w:val="24"/>
                <w:szCs w:val="24"/>
                <w:lang w:val="en-US" w:eastAsia="zh-CN"/>
              </w:rPr>
              <w:t>3，</w:t>
            </w:r>
            <w:r>
              <w:rPr>
                <w:rFonts w:hint="default" w:ascii="Times New Roman" w:hAnsi="Times New Roman" w:eastAsia="宋体" w:cs="Times New Roman"/>
                <w:color w:val="000000"/>
                <w:spacing w:val="0"/>
                <w:position w:val="0"/>
                <w:sz w:val="24"/>
                <w:szCs w:val="24"/>
              </w:rPr>
              <w:t>槽车转输至储罐时废气</w:t>
            </w:r>
            <w:r>
              <w:rPr>
                <w:rFonts w:hint="eastAsia" w:ascii="Times New Roman" w:hAnsi="Times New Roman" w:eastAsia="宋体" w:cs="Times New Roman"/>
                <w:color w:val="000000"/>
                <w:spacing w:val="0"/>
                <w:position w:val="0"/>
                <w:sz w:val="24"/>
                <w:szCs w:val="24"/>
                <w:lang w:val="en-US" w:eastAsia="zh-CN"/>
              </w:rPr>
              <w:t>G</w:t>
            </w:r>
            <w:r>
              <w:rPr>
                <w:rFonts w:hint="eastAsia" w:ascii="Times New Roman" w:hAnsi="Times New Roman" w:cs="Times New Roman"/>
                <w:color w:val="000000"/>
                <w:spacing w:val="0"/>
                <w:position w:val="0"/>
                <w:sz w:val="24"/>
                <w:szCs w:val="24"/>
                <w:lang w:val="en-US" w:eastAsia="zh-CN"/>
              </w:rPr>
              <w:t>3，充装过程会产生少量充装废气G4以及充装设备噪声N4，气密行检测过程会产生废钢瓶S2。</w:t>
            </w:r>
          </w:p>
          <w:p w14:paraId="1EDC5851">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jc w:val="center"/>
              <w:textAlignment w:val="center"/>
            </w:pPr>
            <w:r>
              <w:drawing>
                <wp:inline distT="0" distB="0" distL="114300" distR="114300">
                  <wp:extent cx="4891405" cy="1767205"/>
                  <wp:effectExtent l="0" t="0" r="4445" b="444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7"/>
                          <a:stretch>
                            <a:fillRect/>
                          </a:stretch>
                        </pic:blipFill>
                        <pic:spPr>
                          <a:xfrm>
                            <a:off x="0" y="0"/>
                            <a:ext cx="4891405" cy="1767205"/>
                          </a:xfrm>
                          <a:prstGeom prst="rect">
                            <a:avLst/>
                          </a:prstGeom>
                          <a:noFill/>
                          <a:ln>
                            <a:noFill/>
                          </a:ln>
                        </pic:spPr>
                      </pic:pic>
                    </a:graphicData>
                  </a:graphic>
                </wp:inline>
              </w:drawing>
            </w:r>
          </w:p>
          <w:p w14:paraId="2449D9C4">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jc w:val="center"/>
              <w:textAlignment w:val="center"/>
              <w:rPr>
                <w:rFonts w:hint="default" w:ascii="黑体" w:hAnsi="黑体" w:eastAsia="黑体" w:cs="黑体"/>
                <w:color w:val="000000"/>
                <w:spacing w:val="0"/>
                <w:position w:val="0"/>
                <w:sz w:val="21"/>
                <w:szCs w:val="21"/>
                <w:lang w:val="en-US" w:eastAsia="zh-CN"/>
              </w:rPr>
            </w:pPr>
            <w:r>
              <w:rPr>
                <w:rFonts w:hint="eastAsia" w:ascii="黑体" w:hAnsi="黑体" w:eastAsia="黑体" w:cs="黑体"/>
                <w:color w:val="000000"/>
                <w:spacing w:val="0"/>
                <w:position w:val="0"/>
                <w:sz w:val="21"/>
                <w:szCs w:val="21"/>
                <w:lang w:val="en-US" w:eastAsia="zh-CN"/>
              </w:rPr>
              <w:t>图2-3液二氧化碳充装工艺过程及产排污节点图</w:t>
            </w:r>
          </w:p>
          <w:p w14:paraId="60E8C3E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jc w:val="left"/>
              <w:textAlignment w:val="center"/>
              <w:rPr>
                <w:rFonts w:hint="default" w:ascii="Times New Roman" w:hAnsi="Times New Roman" w:eastAsia="宋体" w:cs="Times New Roman"/>
                <w:b w:val="0"/>
                <w:bCs w:val="0"/>
                <w:color w:val="auto"/>
                <w:kern w:val="2"/>
                <w:sz w:val="24"/>
                <w:szCs w:val="24"/>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rPr>
              <w:t>③</w:t>
            </w:r>
            <w:r>
              <w:rPr>
                <w:rFonts w:hint="eastAsia" w:ascii="Times New Roman" w:hAnsi="Times New Roman" w:eastAsia="宋体" w:cs="Times New Roman"/>
                <w:b w:val="0"/>
                <w:bCs w:val="0"/>
                <w:color w:val="auto"/>
                <w:kern w:val="2"/>
                <w:sz w:val="24"/>
                <w:szCs w:val="24"/>
                <w:highlight w:val="none"/>
                <w:lang w:val="en-US" w:eastAsia="zh-CN"/>
              </w:rPr>
              <w:t>液</w:t>
            </w:r>
            <w:r>
              <w:rPr>
                <w:rFonts w:hint="default" w:ascii="Times New Roman" w:hAnsi="Times New Roman" w:eastAsia="宋体" w:cs="Times New Roman"/>
                <w:b w:val="0"/>
                <w:bCs w:val="0"/>
                <w:color w:val="auto"/>
                <w:kern w:val="2"/>
                <w:sz w:val="24"/>
                <w:szCs w:val="24"/>
                <w:highlight w:val="none"/>
                <w:lang w:val="en-US" w:eastAsia="zh-CN"/>
              </w:rPr>
              <w:t>一氧化二氮充装流程</w:t>
            </w:r>
          </w:p>
          <w:p w14:paraId="076E5B6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jc w:val="left"/>
              <w:textAlignment w:val="center"/>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低温液体储罐内的液态一氧化二氮进入低温液体泵（进口压力</w:t>
            </w:r>
            <w:r>
              <w:rPr>
                <w:rFonts w:hint="default" w:ascii="Times New Roman" w:hAnsi="Times New Roman" w:eastAsia="宋体" w:cs="Times New Roman"/>
                <w:b w:val="0"/>
                <w:bCs w:val="0"/>
                <w:color w:val="auto"/>
                <w:kern w:val="2"/>
                <w:sz w:val="24"/>
                <w:szCs w:val="24"/>
                <w:highlight w:val="none"/>
                <w:lang w:val="en-US" w:eastAsia="zh-CN"/>
              </w:rPr>
              <w:t>0.8MPa</w:t>
            </w:r>
            <w:r>
              <w:rPr>
                <w:rFonts w:hint="eastAsia" w:ascii="Times New Roman" w:hAnsi="Times New Roman" w:eastAsia="宋体" w:cs="Times New Roman"/>
                <w:b w:val="0"/>
                <w:bCs w:val="0"/>
                <w:color w:val="auto"/>
                <w:kern w:val="2"/>
                <w:sz w:val="24"/>
                <w:szCs w:val="24"/>
                <w:highlight w:val="none"/>
                <w:lang w:val="en-US" w:eastAsia="zh-CN"/>
              </w:rPr>
              <w:t>，出口压力</w:t>
            </w:r>
            <w:r>
              <w:rPr>
                <w:rFonts w:hint="default" w:ascii="Times New Roman" w:hAnsi="Times New Roman" w:eastAsia="宋体" w:cs="Times New Roman"/>
                <w:b w:val="0"/>
                <w:bCs w:val="0"/>
                <w:color w:val="auto"/>
                <w:kern w:val="2"/>
                <w:sz w:val="24"/>
                <w:szCs w:val="24"/>
                <w:highlight w:val="none"/>
                <w:lang w:val="en-US" w:eastAsia="zh-CN"/>
              </w:rPr>
              <w:t>10MPa</w:t>
            </w:r>
            <w:r>
              <w:rPr>
                <w:rFonts w:hint="eastAsia" w:ascii="Times New Roman" w:hAnsi="Times New Roman" w:eastAsia="宋体" w:cs="Times New Roman"/>
                <w:b w:val="0"/>
                <w:bCs w:val="0"/>
                <w:color w:val="auto"/>
                <w:kern w:val="2"/>
                <w:sz w:val="24"/>
                <w:szCs w:val="24"/>
                <w:highlight w:val="none"/>
                <w:lang w:val="en-US" w:eastAsia="zh-CN"/>
              </w:rPr>
              <w:t>），经过低温液体泵的加压作用，使液态一氧化二氮通过低温绝热管道（</w:t>
            </w:r>
            <w:r>
              <w:rPr>
                <w:rFonts w:hint="default" w:ascii="Times New Roman" w:hAnsi="Times New Roman" w:eastAsia="宋体" w:cs="Times New Roman"/>
                <w:b w:val="0"/>
                <w:bCs w:val="0"/>
                <w:color w:val="auto"/>
                <w:kern w:val="2"/>
                <w:sz w:val="24"/>
                <w:szCs w:val="24"/>
                <w:highlight w:val="none"/>
                <w:lang w:val="en-US" w:eastAsia="zh-CN"/>
              </w:rPr>
              <w:t>DN25</w:t>
            </w:r>
            <w:r>
              <w:rPr>
                <w:rFonts w:hint="eastAsia" w:ascii="Times New Roman" w:hAnsi="Times New Roman" w:eastAsia="宋体" w:cs="Times New Roman"/>
                <w:b w:val="0"/>
                <w:bCs w:val="0"/>
                <w:color w:val="auto"/>
                <w:kern w:val="2"/>
                <w:sz w:val="24"/>
                <w:szCs w:val="24"/>
                <w:highlight w:val="none"/>
                <w:lang w:val="en-US" w:eastAsia="zh-CN"/>
              </w:rPr>
              <w:t>；设计压力</w:t>
            </w:r>
            <w:r>
              <w:rPr>
                <w:rFonts w:hint="default" w:ascii="Times New Roman" w:hAnsi="Times New Roman" w:eastAsia="宋体" w:cs="Times New Roman"/>
                <w:b w:val="0"/>
                <w:bCs w:val="0"/>
                <w:color w:val="auto"/>
                <w:kern w:val="2"/>
                <w:sz w:val="24"/>
                <w:szCs w:val="24"/>
                <w:highlight w:val="none"/>
                <w:lang w:val="en-US" w:eastAsia="zh-CN"/>
              </w:rPr>
              <w:t>15MPa</w:t>
            </w:r>
            <w:r>
              <w:rPr>
                <w:rFonts w:hint="eastAsia" w:ascii="Times New Roman" w:hAnsi="Times New Roman" w:eastAsia="宋体" w:cs="Times New Roman"/>
                <w:b w:val="0"/>
                <w:bCs w:val="0"/>
                <w:color w:val="auto"/>
                <w:kern w:val="2"/>
                <w:sz w:val="24"/>
                <w:szCs w:val="24"/>
                <w:highlight w:val="none"/>
                <w:lang w:val="en-US" w:eastAsia="zh-CN"/>
              </w:rPr>
              <w:t>，工作压力</w:t>
            </w:r>
            <w:r>
              <w:rPr>
                <w:rFonts w:hint="default" w:ascii="Times New Roman" w:hAnsi="Times New Roman" w:eastAsia="宋体" w:cs="Times New Roman"/>
                <w:b w:val="0"/>
                <w:bCs w:val="0"/>
                <w:color w:val="auto"/>
                <w:kern w:val="2"/>
                <w:sz w:val="24"/>
                <w:szCs w:val="24"/>
                <w:highlight w:val="none"/>
                <w:lang w:val="en-US" w:eastAsia="zh-CN"/>
              </w:rPr>
              <w:t>10MPa</w:t>
            </w:r>
            <w:r>
              <w:rPr>
                <w:rFonts w:hint="eastAsia" w:ascii="Times New Roman" w:hAnsi="Times New Roman" w:eastAsia="宋体" w:cs="Times New Roman"/>
                <w:b w:val="0"/>
                <w:bCs w:val="0"/>
                <w:color w:val="auto"/>
                <w:kern w:val="2"/>
                <w:sz w:val="24"/>
                <w:szCs w:val="24"/>
                <w:highlight w:val="none"/>
                <w:lang w:val="en-US" w:eastAsia="zh-CN"/>
              </w:rPr>
              <w:t>）输送至充装机，将液态一氧化二氮进行自动充装至钢瓶，每台充装机均独立工作。在管道末端设置小型‌</w:t>
            </w:r>
            <w:r>
              <w:rPr>
                <w:rFonts w:hint="default" w:ascii="Times New Roman" w:hAnsi="Times New Roman" w:eastAsia="宋体" w:cs="Times New Roman"/>
                <w:b w:val="0"/>
                <w:bCs w:val="0"/>
                <w:color w:val="auto"/>
                <w:kern w:val="2"/>
                <w:sz w:val="24"/>
                <w:szCs w:val="24"/>
                <w:highlight w:val="none"/>
                <w:lang w:val="en-US" w:eastAsia="zh-CN"/>
              </w:rPr>
              <w:t>低温真空泵‌，将每次转输结束后残留在管道和接头中的N₂O抽回至缓冲罐</w:t>
            </w:r>
            <w:r>
              <w:rPr>
                <w:rFonts w:hint="eastAsia" w:ascii="Times New Roman" w:hAnsi="Times New Roman" w:eastAsia="宋体" w:cs="Times New Roman"/>
                <w:b w:val="0"/>
                <w:bCs w:val="0"/>
                <w:color w:val="auto"/>
                <w:kern w:val="2"/>
                <w:sz w:val="24"/>
                <w:szCs w:val="24"/>
                <w:highlight w:val="none"/>
                <w:lang w:val="en-US" w:eastAsia="zh-CN"/>
              </w:rPr>
              <w:t>，</w:t>
            </w:r>
            <w:r>
              <w:rPr>
                <w:rFonts w:hint="default" w:ascii="Times New Roman" w:hAnsi="Times New Roman" w:eastAsia="宋体" w:cs="Times New Roman"/>
                <w:b w:val="0"/>
                <w:bCs w:val="0"/>
                <w:color w:val="auto"/>
                <w:kern w:val="2"/>
                <w:sz w:val="24"/>
                <w:szCs w:val="24"/>
                <w:highlight w:val="none"/>
                <w:lang w:val="en-US" w:eastAsia="zh-CN"/>
              </w:rPr>
              <w:t>用于后续充装使用</w:t>
            </w:r>
            <w:r>
              <w:rPr>
                <w:rFonts w:hint="eastAsia" w:ascii="Times New Roman" w:hAnsi="Times New Roman" w:eastAsia="宋体" w:cs="Times New Roman"/>
                <w:b w:val="0"/>
                <w:bCs w:val="0"/>
                <w:color w:val="auto"/>
                <w:kern w:val="2"/>
                <w:sz w:val="24"/>
                <w:szCs w:val="24"/>
                <w:highlight w:val="none"/>
                <w:lang w:val="en-US" w:eastAsia="zh-CN"/>
              </w:rPr>
              <w:t>。</w:t>
            </w:r>
          </w:p>
          <w:p w14:paraId="663F0D49">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jc w:val="left"/>
              <w:textAlignment w:val="center"/>
              <w:rPr>
                <w:rFonts w:hint="default" w:ascii="Times New Roman" w:hAnsi="Times New Roman" w:eastAsia="宋体" w:cs="Times New Roman"/>
                <w:color w:val="000000"/>
                <w:spacing w:val="0"/>
                <w:position w:val="0"/>
                <w:sz w:val="24"/>
                <w:szCs w:val="24"/>
              </w:rPr>
            </w:pPr>
            <w:r>
              <w:rPr>
                <w:rFonts w:hint="eastAsia" w:ascii="Times New Roman" w:hAnsi="Times New Roman" w:eastAsia="宋体" w:cs="Times New Roman"/>
                <w:b w:val="0"/>
                <w:bCs w:val="0"/>
                <w:color w:val="auto"/>
                <w:kern w:val="2"/>
                <w:sz w:val="24"/>
                <w:szCs w:val="24"/>
                <w:highlight w:val="none"/>
                <w:lang w:val="en-US" w:eastAsia="zh-CN"/>
              </w:rPr>
              <w:t>低温液体槽车进场会产生运输噪声N5，</w:t>
            </w:r>
            <w:r>
              <w:rPr>
                <w:rFonts w:hint="default" w:ascii="Times New Roman" w:hAnsi="Times New Roman" w:eastAsia="宋体" w:cs="Times New Roman"/>
                <w:b w:val="0"/>
                <w:bCs w:val="0"/>
                <w:color w:val="auto"/>
                <w:kern w:val="2"/>
                <w:sz w:val="24"/>
                <w:szCs w:val="24"/>
                <w:highlight w:val="none"/>
                <w:lang w:val="en-US" w:eastAsia="zh-CN"/>
              </w:rPr>
              <w:t>槽车转输至储罐时废气</w:t>
            </w:r>
            <w:r>
              <w:rPr>
                <w:rFonts w:hint="eastAsia" w:ascii="Times New Roman" w:hAnsi="Times New Roman" w:eastAsia="宋体" w:cs="Times New Roman"/>
                <w:b w:val="0"/>
                <w:bCs w:val="0"/>
                <w:color w:val="auto"/>
                <w:kern w:val="2"/>
                <w:sz w:val="24"/>
                <w:szCs w:val="24"/>
                <w:highlight w:val="none"/>
                <w:lang w:val="en-US" w:eastAsia="zh-CN"/>
              </w:rPr>
              <w:t>G5，充装过程会产生少量充装废气G6以及充装设备噪声N6，气</w:t>
            </w:r>
            <w:r>
              <w:rPr>
                <w:rFonts w:hint="eastAsia" w:ascii="Times New Roman" w:hAnsi="Times New Roman" w:cs="Times New Roman"/>
                <w:color w:val="000000"/>
                <w:spacing w:val="0"/>
                <w:position w:val="0"/>
                <w:sz w:val="24"/>
                <w:szCs w:val="24"/>
                <w:lang w:val="en-US" w:eastAsia="zh-CN"/>
              </w:rPr>
              <w:t>密行检测过程会产生废钢瓶S3。</w:t>
            </w:r>
          </w:p>
          <w:p w14:paraId="0C51CB5A">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0" w:firstLineChars="0"/>
              <w:jc w:val="left"/>
              <w:textAlignment w:val="center"/>
            </w:pPr>
            <w:r>
              <w:drawing>
                <wp:inline distT="0" distB="0" distL="114300" distR="114300">
                  <wp:extent cx="4958080" cy="2131695"/>
                  <wp:effectExtent l="0" t="0" r="1397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958080" cy="2131695"/>
                          </a:xfrm>
                          <a:prstGeom prst="rect">
                            <a:avLst/>
                          </a:prstGeom>
                          <a:noFill/>
                          <a:ln>
                            <a:noFill/>
                          </a:ln>
                        </pic:spPr>
                      </pic:pic>
                    </a:graphicData>
                  </a:graphic>
                </wp:inline>
              </w:drawing>
            </w:r>
          </w:p>
          <w:p w14:paraId="0E2D1FD3">
            <w:pPr>
              <w:pStyle w:val="2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0" w:firstLineChars="0"/>
              <w:jc w:val="center"/>
              <w:textAlignment w:val="center"/>
              <w:rPr>
                <w:rFonts w:hint="default"/>
              </w:rPr>
            </w:pPr>
            <w:r>
              <w:rPr>
                <w:rFonts w:hint="eastAsia" w:ascii="黑体" w:hAnsi="黑体" w:eastAsia="黑体" w:cs="黑体"/>
                <w:color w:val="000000"/>
                <w:spacing w:val="0"/>
                <w:position w:val="0"/>
                <w:sz w:val="21"/>
                <w:szCs w:val="21"/>
                <w:lang w:val="en-US" w:eastAsia="zh-CN"/>
              </w:rPr>
              <w:t>图2-4液一氧化二氮充装工艺过程及产排污节点图</w:t>
            </w:r>
          </w:p>
          <w:p w14:paraId="4077988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firstLine="480" w:firstLineChars="200"/>
              <w:textAlignment w:val="auto"/>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本项目产污节点如下表所示。</w:t>
            </w:r>
          </w:p>
          <w:p w14:paraId="28BC567A">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56D28CF7">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479D014B">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1C0503DE">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009E739A">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047C8B24">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57361100">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ascii="黑体" w:hAnsi="黑体" w:eastAsia="黑体" w:cs="黑体"/>
                <w:color w:val="auto"/>
                <w:sz w:val="21"/>
                <w:szCs w:val="21"/>
                <w:highlight w:val="none"/>
                <w:lang w:val="en-US" w:eastAsia="zh-CN"/>
              </w:rPr>
            </w:pPr>
          </w:p>
          <w:p w14:paraId="036D9897">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color w:val="auto"/>
                <w:lang w:val="en-US" w:eastAsia="zh-CN"/>
              </w:rPr>
            </w:pPr>
            <w:r>
              <w:rPr>
                <w:rFonts w:hint="eastAsia" w:ascii="黑体" w:hAnsi="黑体" w:eastAsia="黑体" w:cs="黑体"/>
                <w:color w:val="auto"/>
                <w:sz w:val="21"/>
                <w:szCs w:val="21"/>
                <w:highlight w:val="none"/>
                <w:lang w:val="en-US" w:eastAsia="zh-CN"/>
              </w:rPr>
              <w:t>表2-6产污节点汇总表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168"/>
              <w:gridCol w:w="1390"/>
              <w:gridCol w:w="1538"/>
              <w:gridCol w:w="1668"/>
              <w:gridCol w:w="1374"/>
            </w:tblGrid>
            <w:tr w14:paraId="3472D9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tcBorders>
                    <w:tl2br w:val="nil"/>
                    <w:tr2bl w:val="nil"/>
                  </w:tcBorders>
                  <w:vAlign w:val="center"/>
                </w:tcPr>
                <w:p w14:paraId="5430EA02">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生产线</w:t>
                  </w:r>
                </w:p>
              </w:tc>
              <w:tc>
                <w:tcPr>
                  <w:tcW w:w="747" w:type="pct"/>
                  <w:tcBorders>
                    <w:tl2br w:val="nil"/>
                    <w:tr2bl w:val="nil"/>
                  </w:tcBorders>
                  <w:vAlign w:val="center"/>
                </w:tcPr>
                <w:p w14:paraId="0C2D8E7A">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工艺过程</w:t>
                  </w:r>
                </w:p>
              </w:tc>
              <w:tc>
                <w:tcPr>
                  <w:tcW w:w="890" w:type="pct"/>
                  <w:tcBorders>
                    <w:tl2br w:val="nil"/>
                    <w:tr2bl w:val="nil"/>
                  </w:tcBorders>
                  <w:vAlign w:val="center"/>
                </w:tcPr>
                <w:p w14:paraId="3829C85C">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污染物类别</w:t>
                  </w:r>
                </w:p>
              </w:tc>
              <w:tc>
                <w:tcPr>
                  <w:tcW w:w="2053" w:type="pct"/>
                  <w:gridSpan w:val="2"/>
                  <w:tcBorders>
                    <w:tl2br w:val="nil"/>
                    <w:tr2bl w:val="nil"/>
                  </w:tcBorders>
                  <w:vAlign w:val="center"/>
                </w:tcPr>
                <w:p w14:paraId="7E19C5F6">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color w:val="auto"/>
                      <w:sz w:val="21"/>
                      <w:szCs w:val="21"/>
                      <w:highlight w:val="none"/>
                      <w:vertAlign w:val="baseline"/>
                    </w:rPr>
                  </w:pPr>
                  <w:r>
                    <w:rPr>
                      <w:rFonts w:hint="default" w:ascii="Times New Roman" w:hAnsi="Times New Roman" w:cs="Times New Roman"/>
                      <w:color w:val="auto"/>
                      <w:sz w:val="21"/>
                      <w:szCs w:val="21"/>
                      <w:highlight w:val="none"/>
                      <w:vertAlign w:val="baseline"/>
                      <w:lang w:val="en-US" w:eastAsia="zh-CN"/>
                    </w:rPr>
                    <w:t>污染因子</w:t>
                  </w:r>
                </w:p>
              </w:tc>
              <w:tc>
                <w:tcPr>
                  <w:tcW w:w="880" w:type="pct"/>
                  <w:tcBorders>
                    <w:tl2br w:val="nil"/>
                    <w:tr2bl w:val="nil"/>
                  </w:tcBorders>
                  <w:vAlign w:val="center"/>
                </w:tcPr>
                <w:p w14:paraId="33D6F9DA">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备注</w:t>
                  </w:r>
                </w:p>
              </w:tc>
            </w:tr>
            <w:tr w14:paraId="2C98F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428" w:type="pct"/>
                  <w:vMerge w:val="restart"/>
                  <w:tcBorders>
                    <w:tl2br w:val="nil"/>
                    <w:tr2bl w:val="nil"/>
                  </w:tcBorders>
                  <w:vAlign w:val="center"/>
                </w:tcPr>
                <w:p w14:paraId="6935D75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气体充装</w:t>
                  </w:r>
                </w:p>
              </w:tc>
              <w:tc>
                <w:tcPr>
                  <w:tcW w:w="747" w:type="pct"/>
                  <w:tcBorders>
                    <w:tl2br w:val="nil"/>
                    <w:tr2bl w:val="nil"/>
                  </w:tcBorders>
                  <w:vAlign w:val="center"/>
                </w:tcPr>
                <w:p w14:paraId="5EBCE462">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低温液体槽车运输</w:t>
                  </w:r>
                </w:p>
              </w:tc>
              <w:tc>
                <w:tcPr>
                  <w:tcW w:w="890" w:type="pct"/>
                  <w:tcBorders>
                    <w:tl2br w:val="nil"/>
                    <w:tr2bl w:val="nil"/>
                  </w:tcBorders>
                  <w:shd w:val="clear" w:color="auto" w:fill="auto"/>
                  <w:vAlign w:val="center"/>
                </w:tcPr>
                <w:p w14:paraId="6B1BC10C">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噪声</w:t>
                  </w:r>
                </w:p>
              </w:tc>
              <w:tc>
                <w:tcPr>
                  <w:tcW w:w="985" w:type="pct"/>
                  <w:tcBorders>
                    <w:tl2br w:val="nil"/>
                    <w:tr2bl w:val="nil"/>
                  </w:tcBorders>
                  <w:shd w:val="clear" w:color="auto" w:fill="auto"/>
                  <w:vAlign w:val="center"/>
                </w:tcPr>
                <w:p w14:paraId="208D6189">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N1、N3、N5</w:t>
                  </w:r>
                </w:p>
              </w:tc>
              <w:tc>
                <w:tcPr>
                  <w:tcW w:w="1068" w:type="pct"/>
                  <w:tcBorders>
                    <w:tl2br w:val="nil"/>
                    <w:tr2bl w:val="nil"/>
                  </w:tcBorders>
                  <w:shd w:val="clear" w:color="auto" w:fill="auto"/>
                  <w:vAlign w:val="center"/>
                </w:tcPr>
                <w:p w14:paraId="2291AB6F">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default" w:ascii="Times New Roman" w:hAnsi="Times New Roman" w:cs="Times New Roman"/>
                      <w:color w:val="auto"/>
                      <w:sz w:val="21"/>
                      <w:szCs w:val="21"/>
                      <w:highlight w:val="none"/>
                      <w:vertAlign w:val="baseline"/>
                      <w:lang w:val="en-US" w:eastAsia="zh-CN"/>
                    </w:rPr>
                    <w:t>dB（A）</w:t>
                  </w:r>
                </w:p>
              </w:tc>
              <w:tc>
                <w:tcPr>
                  <w:tcW w:w="880" w:type="pct"/>
                  <w:tcBorders>
                    <w:tl2br w:val="nil"/>
                    <w:tr2bl w:val="nil"/>
                  </w:tcBorders>
                  <w:shd w:val="clear" w:color="auto" w:fill="auto"/>
                  <w:vAlign w:val="center"/>
                </w:tcPr>
                <w:p w14:paraId="35A9E3F0">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r>
            <w:tr w14:paraId="6FFF9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484AADF4">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restart"/>
                  <w:tcBorders>
                    <w:tl2br w:val="nil"/>
                    <w:tr2bl w:val="nil"/>
                  </w:tcBorders>
                  <w:vAlign w:val="center"/>
                </w:tcPr>
                <w:p w14:paraId="0F1EB005">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槽车转输至储罐</w:t>
                  </w:r>
                </w:p>
              </w:tc>
              <w:tc>
                <w:tcPr>
                  <w:tcW w:w="890" w:type="pct"/>
                  <w:vMerge w:val="restart"/>
                  <w:tcBorders>
                    <w:tl2br w:val="nil"/>
                    <w:tr2bl w:val="nil"/>
                  </w:tcBorders>
                  <w:shd w:val="clear" w:color="auto" w:fill="auto"/>
                  <w:vAlign w:val="center"/>
                </w:tcPr>
                <w:p w14:paraId="601C3C7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ascii="Times New Roman" w:hAnsi="Times New Roman" w:cs="Times New Roman"/>
                      <w:color w:val="auto"/>
                      <w:sz w:val="21"/>
                      <w:szCs w:val="21"/>
                      <w:highlight w:val="none"/>
                      <w:vertAlign w:val="baseline"/>
                      <w:lang w:val="en-US" w:eastAsia="zh-CN"/>
                    </w:rPr>
                    <w:t>废气</w:t>
                  </w:r>
                </w:p>
              </w:tc>
              <w:tc>
                <w:tcPr>
                  <w:tcW w:w="985" w:type="pct"/>
                  <w:tcBorders>
                    <w:tl2br w:val="nil"/>
                    <w:tr2bl w:val="nil"/>
                  </w:tcBorders>
                  <w:shd w:val="clear" w:color="auto" w:fill="auto"/>
                  <w:vAlign w:val="center"/>
                </w:tcPr>
                <w:p w14:paraId="0EEDB46D">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G1</w:t>
                  </w:r>
                </w:p>
              </w:tc>
              <w:tc>
                <w:tcPr>
                  <w:tcW w:w="1068" w:type="pct"/>
                  <w:tcBorders>
                    <w:tl2br w:val="nil"/>
                    <w:tr2bl w:val="nil"/>
                  </w:tcBorders>
                  <w:shd w:val="clear" w:color="auto" w:fill="auto"/>
                  <w:vAlign w:val="center"/>
                </w:tcPr>
                <w:p w14:paraId="0495C81D">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氮气</w:t>
                  </w:r>
                </w:p>
              </w:tc>
              <w:tc>
                <w:tcPr>
                  <w:tcW w:w="880" w:type="pct"/>
                  <w:vMerge w:val="restart"/>
                  <w:tcBorders>
                    <w:tl2br w:val="nil"/>
                    <w:tr2bl w:val="nil"/>
                  </w:tcBorders>
                  <w:shd w:val="clear" w:color="auto" w:fill="auto"/>
                  <w:vAlign w:val="center"/>
                </w:tcPr>
                <w:p w14:paraId="50CBC65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不属于污染物，环评不做评价</w:t>
                  </w:r>
                </w:p>
              </w:tc>
            </w:tr>
            <w:tr w14:paraId="148848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37DA231A">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continue"/>
                  <w:tcBorders>
                    <w:tl2br w:val="nil"/>
                    <w:tr2bl w:val="nil"/>
                  </w:tcBorders>
                  <w:vAlign w:val="center"/>
                </w:tcPr>
                <w:p w14:paraId="342276D0">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p>
              </w:tc>
              <w:tc>
                <w:tcPr>
                  <w:tcW w:w="890" w:type="pct"/>
                  <w:vMerge w:val="continue"/>
                  <w:tcBorders>
                    <w:tl2br w:val="nil"/>
                    <w:tr2bl w:val="nil"/>
                  </w:tcBorders>
                  <w:shd w:val="clear" w:color="auto" w:fill="auto"/>
                  <w:vAlign w:val="center"/>
                </w:tcPr>
                <w:p w14:paraId="76FDF3D6">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985" w:type="pct"/>
                  <w:tcBorders>
                    <w:tl2br w:val="nil"/>
                    <w:tr2bl w:val="nil"/>
                  </w:tcBorders>
                  <w:shd w:val="clear" w:color="auto" w:fill="auto"/>
                  <w:vAlign w:val="center"/>
                </w:tcPr>
                <w:p w14:paraId="74551DD2">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G3</w:t>
                  </w:r>
                </w:p>
              </w:tc>
              <w:tc>
                <w:tcPr>
                  <w:tcW w:w="1068" w:type="pct"/>
                  <w:tcBorders>
                    <w:tl2br w:val="nil"/>
                    <w:tr2bl w:val="nil"/>
                  </w:tcBorders>
                  <w:shd w:val="clear" w:color="auto" w:fill="auto"/>
                  <w:vAlign w:val="center"/>
                </w:tcPr>
                <w:p w14:paraId="3A01F058">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二氧化碳</w:t>
                  </w:r>
                </w:p>
              </w:tc>
              <w:tc>
                <w:tcPr>
                  <w:tcW w:w="880" w:type="pct"/>
                  <w:vMerge w:val="continue"/>
                  <w:tcBorders>
                    <w:tl2br w:val="nil"/>
                    <w:tr2bl w:val="nil"/>
                  </w:tcBorders>
                  <w:shd w:val="clear" w:color="auto" w:fill="auto"/>
                  <w:vAlign w:val="center"/>
                </w:tcPr>
                <w:p w14:paraId="410EFDB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p>
              </w:tc>
            </w:tr>
            <w:tr w14:paraId="1D5FDC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27A19D8F">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continue"/>
                  <w:tcBorders>
                    <w:tl2br w:val="nil"/>
                    <w:tr2bl w:val="nil"/>
                  </w:tcBorders>
                  <w:vAlign w:val="center"/>
                </w:tcPr>
                <w:p w14:paraId="3167A75C">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p>
              </w:tc>
              <w:tc>
                <w:tcPr>
                  <w:tcW w:w="890" w:type="pct"/>
                  <w:vMerge w:val="continue"/>
                  <w:tcBorders>
                    <w:tl2br w:val="nil"/>
                    <w:tr2bl w:val="nil"/>
                  </w:tcBorders>
                  <w:shd w:val="clear" w:color="auto" w:fill="auto"/>
                  <w:vAlign w:val="center"/>
                </w:tcPr>
                <w:p w14:paraId="49EE1304">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985" w:type="pct"/>
                  <w:tcBorders>
                    <w:tl2br w:val="nil"/>
                    <w:tr2bl w:val="nil"/>
                  </w:tcBorders>
                  <w:shd w:val="clear" w:color="auto" w:fill="auto"/>
                  <w:vAlign w:val="center"/>
                </w:tcPr>
                <w:p w14:paraId="76092756">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G5</w:t>
                  </w:r>
                </w:p>
              </w:tc>
              <w:tc>
                <w:tcPr>
                  <w:tcW w:w="1068" w:type="pct"/>
                  <w:tcBorders>
                    <w:tl2br w:val="nil"/>
                    <w:tr2bl w:val="nil"/>
                  </w:tcBorders>
                  <w:shd w:val="clear" w:color="auto" w:fill="auto"/>
                  <w:vAlign w:val="center"/>
                </w:tcPr>
                <w:p w14:paraId="7E42591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一氧化二氮</w:t>
                  </w:r>
                </w:p>
              </w:tc>
              <w:tc>
                <w:tcPr>
                  <w:tcW w:w="880" w:type="pct"/>
                  <w:tcBorders>
                    <w:tl2br w:val="nil"/>
                    <w:tr2bl w:val="nil"/>
                  </w:tcBorders>
                  <w:shd w:val="clear" w:color="auto" w:fill="auto"/>
                  <w:vAlign w:val="center"/>
                </w:tcPr>
                <w:p w14:paraId="1931E6B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w:t>
                  </w:r>
                </w:p>
              </w:tc>
            </w:tr>
            <w:tr w14:paraId="4F2DD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5520236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restart"/>
                  <w:tcBorders>
                    <w:tl2br w:val="nil"/>
                    <w:tr2bl w:val="nil"/>
                  </w:tcBorders>
                  <w:vAlign w:val="center"/>
                </w:tcPr>
                <w:p w14:paraId="0C922BDE">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充装</w:t>
                  </w:r>
                </w:p>
              </w:tc>
              <w:tc>
                <w:tcPr>
                  <w:tcW w:w="890" w:type="pct"/>
                  <w:vMerge w:val="restart"/>
                  <w:tcBorders>
                    <w:tl2br w:val="nil"/>
                    <w:tr2bl w:val="nil"/>
                  </w:tcBorders>
                  <w:vAlign w:val="center"/>
                </w:tcPr>
                <w:p w14:paraId="43CC204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废气</w:t>
                  </w:r>
                </w:p>
              </w:tc>
              <w:tc>
                <w:tcPr>
                  <w:tcW w:w="985" w:type="pct"/>
                  <w:tcBorders>
                    <w:tl2br w:val="nil"/>
                    <w:tr2bl w:val="nil"/>
                  </w:tcBorders>
                  <w:vAlign w:val="center"/>
                </w:tcPr>
                <w:p w14:paraId="4B6983CE">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G</w:t>
                  </w:r>
                  <w:r>
                    <w:rPr>
                      <w:rFonts w:hint="eastAsia" w:cs="Times New Roman"/>
                      <w:color w:val="auto"/>
                      <w:sz w:val="21"/>
                      <w:szCs w:val="21"/>
                      <w:highlight w:val="none"/>
                      <w:vertAlign w:val="baseline"/>
                      <w:lang w:val="en-US" w:eastAsia="zh-CN"/>
                    </w:rPr>
                    <w:t>2</w:t>
                  </w:r>
                </w:p>
              </w:tc>
              <w:tc>
                <w:tcPr>
                  <w:tcW w:w="1068" w:type="pct"/>
                  <w:tcBorders>
                    <w:tl2br w:val="nil"/>
                    <w:tr2bl w:val="nil"/>
                  </w:tcBorders>
                  <w:vAlign w:val="center"/>
                </w:tcPr>
                <w:p w14:paraId="67548810">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氮气</w:t>
                  </w:r>
                </w:p>
              </w:tc>
              <w:tc>
                <w:tcPr>
                  <w:tcW w:w="880" w:type="pct"/>
                  <w:vMerge w:val="restart"/>
                  <w:tcBorders>
                    <w:tl2br w:val="nil"/>
                    <w:tr2bl w:val="nil"/>
                  </w:tcBorders>
                  <w:vAlign w:val="center"/>
                </w:tcPr>
                <w:p w14:paraId="562A230D">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不属于污染物，环评不做评价</w:t>
                  </w:r>
                </w:p>
              </w:tc>
            </w:tr>
            <w:tr w14:paraId="43189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2DE715D8">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continue"/>
                  <w:tcBorders>
                    <w:tl2br w:val="nil"/>
                    <w:tr2bl w:val="nil"/>
                  </w:tcBorders>
                  <w:vAlign w:val="center"/>
                </w:tcPr>
                <w:p w14:paraId="25D63D1A">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p>
              </w:tc>
              <w:tc>
                <w:tcPr>
                  <w:tcW w:w="890" w:type="pct"/>
                  <w:vMerge w:val="continue"/>
                  <w:tcBorders>
                    <w:tl2br w:val="nil"/>
                    <w:tr2bl w:val="nil"/>
                  </w:tcBorders>
                  <w:vAlign w:val="center"/>
                </w:tcPr>
                <w:p w14:paraId="19BE55F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985" w:type="pct"/>
                  <w:tcBorders>
                    <w:tl2br w:val="nil"/>
                    <w:tr2bl w:val="nil"/>
                  </w:tcBorders>
                  <w:vAlign w:val="center"/>
                </w:tcPr>
                <w:p w14:paraId="34EBE2B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G</w:t>
                  </w:r>
                  <w:r>
                    <w:rPr>
                      <w:rFonts w:hint="eastAsia" w:cs="Times New Roman"/>
                      <w:color w:val="auto"/>
                      <w:sz w:val="21"/>
                      <w:szCs w:val="21"/>
                      <w:highlight w:val="none"/>
                      <w:vertAlign w:val="baseline"/>
                      <w:lang w:val="en-US" w:eastAsia="zh-CN"/>
                    </w:rPr>
                    <w:t>4</w:t>
                  </w:r>
                </w:p>
              </w:tc>
              <w:tc>
                <w:tcPr>
                  <w:tcW w:w="1068" w:type="pct"/>
                  <w:tcBorders>
                    <w:tl2br w:val="nil"/>
                    <w:tr2bl w:val="nil"/>
                  </w:tcBorders>
                  <w:vAlign w:val="center"/>
                </w:tcPr>
                <w:p w14:paraId="4CAF1A16">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二氧化碳</w:t>
                  </w:r>
                </w:p>
              </w:tc>
              <w:tc>
                <w:tcPr>
                  <w:tcW w:w="880" w:type="pct"/>
                  <w:vMerge w:val="continue"/>
                  <w:tcBorders>
                    <w:tl2br w:val="nil"/>
                    <w:tr2bl w:val="nil"/>
                  </w:tcBorders>
                  <w:vAlign w:val="center"/>
                </w:tcPr>
                <w:p w14:paraId="07619058">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p>
              </w:tc>
            </w:tr>
            <w:tr w14:paraId="5C448B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pct"/>
                  <w:vMerge w:val="continue"/>
                  <w:tcBorders>
                    <w:tl2br w:val="nil"/>
                    <w:tr2bl w:val="nil"/>
                  </w:tcBorders>
                  <w:vAlign w:val="center"/>
                </w:tcPr>
                <w:p w14:paraId="18F29D55">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continue"/>
                  <w:tcBorders>
                    <w:tl2br w:val="nil"/>
                    <w:tr2bl w:val="nil"/>
                  </w:tcBorders>
                  <w:vAlign w:val="center"/>
                </w:tcPr>
                <w:p w14:paraId="32C1D7A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p>
              </w:tc>
              <w:tc>
                <w:tcPr>
                  <w:tcW w:w="890" w:type="pct"/>
                  <w:vMerge w:val="continue"/>
                  <w:tcBorders>
                    <w:tl2br w:val="nil"/>
                    <w:tr2bl w:val="nil"/>
                  </w:tcBorders>
                  <w:vAlign w:val="center"/>
                </w:tcPr>
                <w:p w14:paraId="55072F60">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985" w:type="pct"/>
                  <w:tcBorders>
                    <w:tl2br w:val="nil"/>
                    <w:tr2bl w:val="nil"/>
                  </w:tcBorders>
                  <w:vAlign w:val="center"/>
                </w:tcPr>
                <w:p w14:paraId="5845F32D">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G</w:t>
                  </w:r>
                  <w:r>
                    <w:rPr>
                      <w:rFonts w:hint="eastAsia" w:cs="Times New Roman"/>
                      <w:color w:val="auto"/>
                      <w:sz w:val="21"/>
                      <w:szCs w:val="21"/>
                      <w:highlight w:val="none"/>
                      <w:vertAlign w:val="baseline"/>
                      <w:lang w:val="en-US" w:eastAsia="zh-CN"/>
                    </w:rPr>
                    <w:t>6</w:t>
                  </w:r>
                </w:p>
              </w:tc>
              <w:tc>
                <w:tcPr>
                  <w:tcW w:w="1068" w:type="pct"/>
                  <w:tcBorders>
                    <w:tl2br w:val="nil"/>
                    <w:tr2bl w:val="nil"/>
                  </w:tcBorders>
                  <w:vAlign w:val="center"/>
                </w:tcPr>
                <w:p w14:paraId="7BFAE52C">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一氧化二氮</w:t>
                  </w:r>
                </w:p>
              </w:tc>
              <w:tc>
                <w:tcPr>
                  <w:tcW w:w="880" w:type="pct"/>
                  <w:tcBorders>
                    <w:tl2br w:val="nil"/>
                    <w:tr2bl w:val="nil"/>
                  </w:tcBorders>
                  <w:vAlign w:val="center"/>
                </w:tcPr>
                <w:p w14:paraId="6E20E73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cs="Times New Roman"/>
                      <w:color w:val="auto"/>
                      <w:kern w:val="2"/>
                      <w:sz w:val="21"/>
                      <w:szCs w:val="21"/>
                      <w:highlight w:val="none"/>
                      <w:vertAlign w:val="baseline"/>
                      <w:lang w:val="en-US" w:eastAsia="zh-CN" w:bidi="ar"/>
                    </w:rPr>
                  </w:pPr>
                  <w:r>
                    <w:rPr>
                      <w:rFonts w:hint="eastAsia" w:cs="Times New Roman"/>
                      <w:color w:val="auto"/>
                      <w:kern w:val="2"/>
                      <w:sz w:val="21"/>
                      <w:szCs w:val="21"/>
                      <w:highlight w:val="none"/>
                      <w:vertAlign w:val="baseline"/>
                      <w:lang w:val="en-US" w:eastAsia="zh-CN" w:bidi="ar"/>
                    </w:rPr>
                    <w:t>/</w:t>
                  </w:r>
                </w:p>
              </w:tc>
            </w:tr>
            <w:tr w14:paraId="60421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 w:type="pct"/>
                  <w:vMerge w:val="continue"/>
                  <w:tcBorders>
                    <w:tl2br w:val="nil"/>
                    <w:tr2bl w:val="nil"/>
                  </w:tcBorders>
                  <w:vAlign w:val="center"/>
                </w:tcPr>
                <w:p w14:paraId="54A82BA9">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p>
              </w:tc>
              <w:tc>
                <w:tcPr>
                  <w:tcW w:w="747" w:type="pct"/>
                  <w:vMerge w:val="continue"/>
                  <w:tcBorders>
                    <w:tl2br w:val="nil"/>
                    <w:tr2bl w:val="nil"/>
                  </w:tcBorders>
                  <w:vAlign w:val="center"/>
                </w:tcPr>
                <w:p w14:paraId="34CFB6C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p>
              </w:tc>
              <w:tc>
                <w:tcPr>
                  <w:tcW w:w="890" w:type="pct"/>
                  <w:tcBorders>
                    <w:tl2br w:val="nil"/>
                    <w:tr2bl w:val="nil"/>
                  </w:tcBorders>
                  <w:shd w:val="clear" w:color="auto" w:fill="auto"/>
                  <w:vAlign w:val="center"/>
                </w:tcPr>
                <w:p w14:paraId="52B30410">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
                    </w:rPr>
                  </w:pPr>
                  <w:r>
                    <w:rPr>
                      <w:rFonts w:hint="eastAsia" w:ascii="Times New Roman" w:hAnsi="Times New Roman" w:cs="Times New Roman"/>
                      <w:color w:val="auto"/>
                      <w:sz w:val="21"/>
                      <w:szCs w:val="21"/>
                      <w:highlight w:val="none"/>
                      <w:vertAlign w:val="baseline"/>
                      <w:lang w:val="en-US" w:eastAsia="zh-CN"/>
                    </w:rPr>
                    <w:t>噪声</w:t>
                  </w:r>
                </w:p>
              </w:tc>
              <w:tc>
                <w:tcPr>
                  <w:tcW w:w="985" w:type="pct"/>
                  <w:tcBorders>
                    <w:tl2br w:val="nil"/>
                    <w:tr2bl w:val="nil"/>
                  </w:tcBorders>
                  <w:shd w:val="clear" w:color="auto" w:fill="auto"/>
                  <w:vAlign w:val="center"/>
                </w:tcPr>
                <w:p w14:paraId="71552166">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default" w:ascii="Times New Roman" w:hAnsi="Times New Roman" w:cs="Times New Roman"/>
                      <w:color w:val="auto"/>
                      <w:sz w:val="21"/>
                      <w:szCs w:val="21"/>
                      <w:highlight w:val="none"/>
                      <w:vertAlign w:val="baseline"/>
                      <w:lang w:val="en-US" w:eastAsia="zh-CN"/>
                    </w:rPr>
                    <w:t>N</w:t>
                  </w:r>
                  <w:r>
                    <w:rPr>
                      <w:rFonts w:hint="eastAsia" w:cs="Times New Roman"/>
                      <w:color w:val="auto"/>
                      <w:sz w:val="21"/>
                      <w:szCs w:val="21"/>
                      <w:highlight w:val="none"/>
                      <w:vertAlign w:val="baseline"/>
                      <w:lang w:val="en-US" w:eastAsia="zh-CN"/>
                    </w:rPr>
                    <w:t>2、N4、N6</w:t>
                  </w:r>
                </w:p>
              </w:tc>
              <w:tc>
                <w:tcPr>
                  <w:tcW w:w="1068" w:type="pct"/>
                  <w:tcBorders>
                    <w:tl2br w:val="nil"/>
                    <w:tr2bl w:val="nil"/>
                  </w:tcBorders>
                  <w:shd w:val="clear" w:color="auto" w:fill="auto"/>
                  <w:vAlign w:val="center"/>
                </w:tcPr>
                <w:p w14:paraId="251E2807">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
                    </w:rPr>
                  </w:pPr>
                  <w:r>
                    <w:rPr>
                      <w:rFonts w:hint="default" w:ascii="Times New Roman" w:hAnsi="Times New Roman" w:cs="Times New Roman"/>
                      <w:color w:val="auto"/>
                      <w:sz w:val="21"/>
                      <w:szCs w:val="21"/>
                      <w:highlight w:val="none"/>
                      <w:vertAlign w:val="baseline"/>
                      <w:lang w:val="en-US" w:eastAsia="zh-CN"/>
                    </w:rPr>
                    <w:t>dB（A）</w:t>
                  </w:r>
                </w:p>
              </w:tc>
              <w:tc>
                <w:tcPr>
                  <w:tcW w:w="880" w:type="pct"/>
                  <w:tcBorders>
                    <w:tl2br w:val="nil"/>
                    <w:tr2bl w:val="nil"/>
                  </w:tcBorders>
                  <w:shd w:val="clear" w:color="auto" w:fill="auto"/>
                  <w:vAlign w:val="center"/>
                </w:tcPr>
                <w:p w14:paraId="7EEA7898">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w:t>
                  </w:r>
                </w:p>
              </w:tc>
            </w:tr>
            <w:tr w14:paraId="2A650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6" w:type="pct"/>
                  <w:gridSpan w:val="2"/>
                  <w:tcBorders>
                    <w:tl2br w:val="nil"/>
                    <w:tr2bl w:val="nil"/>
                  </w:tcBorders>
                  <w:vAlign w:val="center"/>
                </w:tcPr>
                <w:p w14:paraId="158A972E">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钢瓶气密性检测</w:t>
                  </w:r>
                </w:p>
              </w:tc>
              <w:tc>
                <w:tcPr>
                  <w:tcW w:w="890" w:type="pct"/>
                  <w:tcBorders>
                    <w:tl2br w:val="nil"/>
                    <w:tr2bl w:val="nil"/>
                  </w:tcBorders>
                  <w:vAlign w:val="center"/>
                </w:tcPr>
                <w:p w14:paraId="29C8BDDF">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固废</w:t>
                  </w:r>
                </w:p>
              </w:tc>
              <w:tc>
                <w:tcPr>
                  <w:tcW w:w="985" w:type="pct"/>
                  <w:tcBorders>
                    <w:tl2br w:val="nil"/>
                    <w:tr2bl w:val="nil"/>
                  </w:tcBorders>
                  <w:vAlign w:val="center"/>
                </w:tcPr>
                <w:p w14:paraId="46EA0D5F">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S1</w:t>
                  </w:r>
                  <w:r>
                    <w:rPr>
                      <w:rFonts w:hint="eastAsia" w:cs="Times New Roman"/>
                      <w:color w:val="auto"/>
                      <w:sz w:val="21"/>
                      <w:szCs w:val="21"/>
                      <w:highlight w:val="none"/>
                      <w:vertAlign w:val="baseline"/>
                      <w:lang w:val="en-US" w:eastAsia="zh-CN"/>
                    </w:rPr>
                    <w:t>-S3</w:t>
                  </w:r>
                </w:p>
              </w:tc>
              <w:tc>
                <w:tcPr>
                  <w:tcW w:w="1068" w:type="pct"/>
                  <w:tcBorders>
                    <w:tl2br w:val="nil"/>
                    <w:tr2bl w:val="nil"/>
                  </w:tcBorders>
                  <w:vAlign w:val="center"/>
                </w:tcPr>
                <w:p w14:paraId="192AC9CA">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废</w:t>
                  </w:r>
                  <w:r>
                    <w:rPr>
                      <w:rFonts w:hint="eastAsia" w:cs="Times New Roman"/>
                      <w:color w:val="auto"/>
                      <w:sz w:val="21"/>
                      <w:szCs w:val="21"/>
                      <w:highlight w:val="none"/>
                      <w:vertAlign w:val="baseline"/>
                      <w:lang w:val="en-US" w:eastAsia="zh-CN"/>
                    </w:rPr>
                    <w:t>钢瓶</w:t>
                  </w:r>
                </w:p>
              </w:tc>
              <w:tc>
                <w:tcPr>
                  <w:tcW w:w="880" w:type="pct"/>
                  <w:tcBorders>
                    <w:tl2br w:val="nil"/>
                    <w:tr2bl w:val="nil"/>
                  </w:tcBorders>
                  <w:vAlign w:val="center"/>
                </w:tcPr>
                <w:p w14:paraId="1D105063">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w:t>
                  </w:r>
                </w:p>
              </w:tc>
            </w:tr>
            <w:tr w14:paraId="40B4E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6" w:type="pct"/>
                  <w:gridSpan w:val="2"/>
                  <w:vMerge w:val="restart"/>
                  <w:tcBorders>
                    <w:tl2br w:val="nil"/>
                    <w:tr2bl w:val="nil"/>
                  </w:tcBorders>
                  <w:vAlign w:val="center"/>
                </w:tcPr>
                <w:p w14:paraId="74AD286D">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员工生产</w:t>
                  </w:r>
                </w:p>
              </w:tc>
              <w:tc>
                <w:tcPr>
                  <w:tcW w:w="890" w:type="pct"/>
                  <w:tcBorders>
                    <w:tl2br w:val="nil"/>
                    <w:tr2bl w:val="nil"/>
                  </w:tcBorders>
                  <w:vAlign w:val="center"/>
                </w:tcPr>
                <w:p w14:paraId="375FB304">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生活废水</w:t>
                  </w:r>
                </w:p>
              </w:tc>
              <w:tc>
                <w:tcPr>
                  <w:tcW w:w="985" w:type="pct"/>
                  <w:tcBorders>
                    <w:tl2br w:val="nil"/>
                    <w:tr2bl w:val="nil"/>
                  </w:tcBorders>
                  <w:vAlign w:val="center"/>
                </w:tcPr>
                <w:p w14:paraId="1ECAE0C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W1</w:t>
                  </w:r>
                </w:p>
              </w:tc>
              <w:tc>
                <w:tcPr>
                  <w:tcW w:w="1068" w:type="pct"/>
                  <w:tcBorders>
                    <w:tl2br w:val="nil"/>
                    <w:tr2bl w:val="nil"/>
                  </w:tcBorders>
                  <w:vAlign w:val="center"/>
                </w:tcPr>
                <w:p w14:paraId="0444C763">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COD、TP、SS等</w:t>
                  </w:r>
                </w:p>
              </w:tc>
              <w:tc>
                <w:tcPr>
                  <w:tcW w:w="880" w:type="pct"/>
                  <w:tcBorders>
                    <w:tl2br w:val="nil"/>
                    <w:tr2bl w:val="nil"/>
                  </w:tcBorders>
                  <w:vAlign w:val="center"/>
                </w:tcPr>
                <w:p w14:paraId="7576256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w:t>
                  </w:r>
                </w:p>
              </w:tc>
            </w:tr>
            <w:tr w14:paraId="672EB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6" w:type="pct"/>
                  <w:gridSpan w:val="2"/>
                  <w:vMerge w:val="continue"/>
                  <w:tcBorders>
                    <w:tl2br w:val="nil"/>
                    <w:tr2bl w:val="nil"/>
                  </w:tcBorders>
                  <w:vAlign w:val="center"/>
                </w:tcPr>
                <w:p w14:paraId="3BF0EEB1">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p>
              </w:tc>
              <w:tc>
                <w:tcPr>
                  <w:tcW w:w="890" w:type="pct"/>
                  <w:tcBorders>
                    <w:tl2br w:val="nil"/>
                    <w:tr2bl w:val="nil"/>
                  </w:tcBorders>
                  <w:vAlign w:val="center"/>
                </w:tcPr>
                <w:p w14:paraId="285E7FD2">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生活垃圾</w:t>
                  </w:r>
                </w:p>
              </w:tc>
              <w:tc>
                <w:tcPr>
                  <w:tcW w:w="985" w:type="pct"/>
                  <w:tcBorders>
                    <w:tl2br w:val="nil"/>
                    <w:tr2bl w:val="nil"/>
                  </w:tcBorders>
                  <w:vAlign w:val="center"/>
                </w:tcPr>
                <w:p w14:paraId="097287A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S4</w:t>
                  </w:r>
                </w:p>
              </w:tc>
              <w:tc>
                <w:tcPr>
                  <w:tcW w:w="1068" w:type="pct"/>
                  <w:tcBorders>
                    <w:tl2br w:val="nil"/>
                    <w:tr2bl w:val="nil"/>
                  </w:tcBorders>
                  <w:vAlign w:val="center"/>
                </w:tcPr>
                <w:p w14:paraId="56CD2279">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生活垃圾</w:t>
                  </w:r>
                </w:p>
              </w:tc>
              <w:tc>
                <w:tcPr>
                  <w:tcW w:w="880" w:type="pct"/>
                  <w:tcBorders>
                    <w:tl2br w:val="nil"/>
                    <w:tr2bl w:val="nil"/>
                  </w:tcBorders>
                  <w:vAlign w:val="center"/>
                </w:tcPr>
                <w:p w14:paraId="4A4EAA3B">
                  <w:pPr>
                    <w:pStyle w:val="3"/>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
                    </w:rPr>
                    <w:t>/</w:t>
                  </w:r>
                </w:p>
              </w:tc>
            </w:tr>
          </w:tbl>
          <w:p w14:paraId="0BAD1D6D">
            <w:pPr>
              <w:pStyle w:val="29"/>
              <w:numPr>
                <w:ilvl w:val="0"/>
                <w:numId w:val="0"/>
              </w:numPr>
              <w:ind w:firstLine="480" w:firstLineChars="200"/>
              <w:jc w:val="both"/>
              <w:rPr>
                <w:rFonts w:hint="default" w:ascii="宋体" w:hAnsi="宋体" w:eastAsia="宋体" w:cs="宋体"/>
                <w:b w:val="0"/>
                <w:bCs/>
                <w:color w:val="auto"/>
                <w:sz w:val="24"/>
                <w:szCs w:val="24"/>
                <w:highlight w:val="none"/>
                <w:lang w:val="en-US" w:eastAsia="zh-CN"/>
              </w:rPr>
            </w:pPr>
          </w:p>
        </w:tc>
      </w:tr>
      <w:tr w14:paraId="2D1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2" w:hRule="atLeast"/>
        </w:trPr>
        <w:tc>
          <w:tcPr>
            <w:tcW w:w="497" w:type="dxa"/>
            <w:vAlign w:val="center"/>
          </w:tcPr>
          <w:p w14:paraId="4C95B8E2">
            <w:pPr>
              <w:pStyle w:val="2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宋体"/>
                <w:color w:val="auto"/>
                <w:sz w:val="24"/>
                <w:szCs w:val="24"/>
                <w:highlight w:val="none"/>
              </w:rPr>
            </w:pPr>
            <w:r>
              <w:rPr>
                <w:rFonts w:hint="eastAsia" w:cs="宋体"/>
                <w:bCs/>
                <w:color w:val="auto"/>
                <w:kern w:val="2"/>
                <w:sz w:val="24"/>
                <w:szCs w:val="24"/>
                <w:highlight w:val="none"/>
              </w:rPr>
              <w:t>与项目有关的原有环境污染问题</w:t>
            </w:r>
          </w:p>
        </w:tc>
        <w:tc>
          <w:tcPr>
            <w:tcW w:w="8025" w:type="dxa"/>
          </w:tcPr>
          <w:p w14:paraId="51CCD3E8">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本项目位于</w:t>
            </w:r>
            <w:r>
              <w:rPr>
                <w:rFonts w:hint="default" w:ascii="Times New Roman" w:hAnsi="Times New Roman" w:eastAsia="宋体" w:cs="Times New Roman"/>
                <w:color w:val="auto"/>
                <w:sz w:val="24"/>
                <w:szCs w:val="24"/>
                <w:highlight w:val="none"/>
                <w:lang w:val="en-US" w:eastAsia="zh-CN"/>
              </w:rPr>
              <w:t>溪市</w:t>
            </w:r>
            <w:r>
              <w:rPr>
                <w:rFonts w:hint="eastAsia" w:ascii="Times New Roman" w:hAnsi="Times New Roman" w:eastAsia="宋体" w:cs="Times New Roman"/>
                <w:color w:val="auto"/>
                <w:sz w:val="24"/>
                <w:szCs w:val="24"/>
                <w:highlight w:val="none"/>
                <w:lang w:val="en-US" w:eastAsia="zh-CN"/>
              </w:rPr>
              <w:t>高新技术产业开发区石桥子平台一街6号</w:t>
            </w:r>
            <w:r>
              <w:rPr>
                <w:rFonts w:hint="eastAsia" w:eastAsia="宋体" w:cs="Times New Roman"/>
                <w:color w:val="auto"/>
                <w:sz w:val="24"/>
                <w:szCs w:val="24"/>
                <w:highlight w:val="none"/>
                <w:lang w:val="en-US" w:eastAsia="zh-CN"/>
              </w:rPr>
              <w:t>，</w:t>
            </w:r>
            <w:r>
              <w:rPr>
                <w:rFonts w:hint="default" w:ascii="Times New Roman" w:hAnsi="Times New Roman" w:cs="Times New Roman" w:eastAsiaTheme="minorEastAsia"/>
                <w:color w:val="auto"/>
                <w:kern w:val="18"/>
                <w:sz w:val="24"/>
                <w:szCs w:val="20"/>
                <w:lang w:val="en-US" w:eastAsia="zh-CN" w:bidi="ar-SA"/>
              </w:rPr>
              <w:t>拟租赁辽宁泰都医用液态氧制造有限公司厂区闲置厂房及工业场地</w:t>
            </w:r>
            <w:r>
              <w:rPr>
                <w:rFonts w:hint="eastAsia" w:ascii="Times New Roman" w:hAnsi="Times New Roman" w:cs="Times New Roman" w:eastAsiaTheme="minorEastAsia"/>
                <w:color w:val="auto"/>
                <w:kern w:val="18"/>
                <w:sz w:val="24"/>
                <w:szCs w:val="20"/>
                <w:lang w:val="en-US" w:eastAsia="zh-CN" w:bidi="ar-SA"/>
              </w:rPr>
              <w:t>进行项目建设</w:t>
            </w:r>
            <w:r>
              <w:rPr>
                <w:rFonts w:hint="eastAsia" w:ascii="Times New Roman" w:hAnsi="Times New Roman" w:eastAsia="宋体" w:cs="Times New Roman"/>
                <w:color w:val="auto"/>
                <w:sz w:val="24"/>
                <w:szCs w:val="24"/>
                <w:highlight w:val="none"/>
                <w:lang w:val="en-US" w:eastAsia="zh-CN"/>
              </w:rPr>
              <w:t>。结合</w:t>
            </w:r>
            <w:r>
              <w:rPr>
                <w:rFonts w:hint="default" w:ascii="Times New Roman" w:hAnsi="Times New Roman" w:eastAsia="宋体"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本溪市生态环境质量报告书</w:t>
            </w:r>
            <w:r>
              <w:rPr>
                <w:rFonts w:hint="default" w:ascii="Times New Roman" w:hAnsi="Times New Roman" w:eastAsia="宋体" w:cs="Times New Roman"/>
                <w:color w:val="auto"/>
                <w:kern w:val="2"/>
                <w:sz w:val="24"/>
                <w:szCs w:val="24"/>
                <w:highlight w:val="none"/>
                <w:lang w:val="en-US" w:eastAsia="zh-CN" w:bidi="ar"/>
              </w:rPr>
              <w:t>（202</w:t>
            </w:r>
            <w:r>
              <w:rPr>
                <w:rFonts w:hint="eastAsia" w:cs="Times New Roman"/>
                <w:color w:val="auto"/>
                <w:kern w:val="2"/>
                <w:sz w:val="24"/>
                <w:szCs w:val="24"/>
                <w:highlight w:val="none"/>
                <w:lang w:val="en-US" w:eastAsia="zh-CN" w:bidi="ar"/>
              </w:rPr>
              <w:t>4</w:t>
            </w:r>
            <w:r>
              <w:rPr>
                <w:rFonts w:hint="default" w:ascii="Times New Roman" w:hAnsi="Times New Roman" w:eastAsia="宋体" w:cs="Times New Roman"/>
                <w:color w:val="auto"/>
                <w:kern w:val="2"/>
                <w:sz w:val="24"/>
                <w:szCs w:val="24"/>
                <w:highlight w:val="none"/>
                <w:lang w:val="en-US" w:eastAsia="zh-CN" w:bidi="ar"/>
              </w:rPr>
              <w:t>年度）》</w:t>
            </w:r>
            <w:r>
              <w:rPr>
                <w:rFonts w:hint="eastAsia" w:ascii="Times New Roman" w:hAnsi="Times New Roman" w:eastAsia="宋体" w:cs="Times New Roman"/>
                <w:color w:val="auto"/>
                <w:sz w:val="24"/>
                <w:szCs w:val="24"/>
                <w:highlight w:val="none"/>
                <w:lang w:val="en-US" w:eastAsia="zh-CN"/>
              </w:rPr>
              <w:t>项目所在区域无环境质量达标区，区域环境质量较好，无原有环境污染问题</w:t>
            </w:r>
            <w:r>
              <w:rPr>
                <w:rFonts w:hint="default" w:ascii="Times New Roman" w:hAnsi="Times New Roman" w:eastAsia="宋体" w:cs="Times New Roman"/>
                <w:color w:val="auto"/>
                <w:sz w:val="24"/>
                <w:szCs w:val="24"/>
                <w:highlight w:val="none"/>
                <w:lang w:val="en-US" w:eastAsia="zh-CN"/>
              </w:rPr>
              <w:t>。</w:t>
            </w:r>
          </w:p>
          <w:p w14:paraId="25CF8158">
            <w:pPr>
              <w:pStyle w:val="2"/>
              <w:rPr>
                <w:rFonts w:hint="default" w:ascii="Times New Roman" w:hAnsi="Times New Roman" w:eastAsia="宋体" w:cs="Times New Roman"/>
                <w:color w:val="auto"/>
                <w:sz w:val="24"/>
                <w:szCs w:val="24"/>
                <w:highlight w:val="none"/>
                <w:lang w:val="en-US" w:eastAsia="zh-CN"/>
              </w:rPr>
            </w:pPr>
          </w:p>
          <w:p w14:paraId="090C2A22">
            <w:pPr>
              <w:pStyle w:val="3"/>
              <w:rPr>
                <w:rFonts w:hint="default" w:ascii="Times New Roman" w:hAnsi="Times New Roman" w:eastAsia="宋体" w:cs="Times New Roman"/>
                <w:color w:val="auto"/>
                <w:sz w:val="24"/>
                <w:szCs w:val="24"/>
                <w:highlight w:val="none"/>
                <w:lang w:val="en-US" w:eastAsia="zh-CN"/>
              </w:rPr>
            </w:pPr>
          </w:p>
          <w:p w14:paraId="3DF758E9">
            <w:pPr>
              <w:rPr>
                <w:rFonts w:hint="default" w:ascii="Times New Roman" w:hAnsi="Times New Roman" w:eastAsia="宋体" w:cs="Times New Roman"/>
                <w:color w:val="auto"/>
                <w:sz w:val="24"/>
                <w:szCs w:val="24"/>
                <w:highlight w:val="none"/>
                <w:lang w:val="en-US" w:eastAsia="zh-CN"/>
              </w:rPr>
            </w:pPr>
          </w:p>
          <w:p w14:paraId="1B48133F">
            <w:pPr>
              <w:pStyle w:val="2"/>
              <w:rPr>
                <w:rFonts w:hint="default" w:ascii="Times New Roman" w:hAnsi="Times New Roman" w:eastAsia="宋体" w:cs="Times New Roman"/>
                <w:color w:val="auto"/>
                <w:sz w:val="24"/>
                <w:szCs w:val="24"/>
                <w:highlight w:val="none"/>
                <w:lang w:val="en-US" w:eastAsia="zh-CN"/>
              </w:rPr>
            </w:pPr>
          </w:p>
          <w:p w14:paraId="7C5B17CC">
            <w:pPr>
              <w:pStyle w:val="3"/>
              <w:rPr>
                <w:rFonts w:hint="default" w:ascii="Times New Roman" w:hAnsi="Times New Roman" w:eastAsia="宋体" w:cs="Times New Roman"/>
                <w:color w:val="auto"/>
                <w:sz w:val="24"/>
                <w:szCs w:val="24"/>
                <w:highlight w:val="none"/>
                <w:lang w:val="en-US" w:eastAsia="zh-CN"/>
              </w:rPr>
            </w:pPr>
          </w:p>
          <w:p w14:paraId="3CBB2E3A">
            <w:pPr>
              <w:rPr>
                <w:rFonts w:hint="default" w:ascii="Times New Roman" w:hAnsi="Times New Roman" w:eastAsia="宋体" w:cs="Times New Roman"/>
                <w:color w:val="auto"/>
                <w:sz w:val="24"/>
                <w:szCs w:val="24"/>
                <w:highlight w:val="none"/>
                <w:lang w:val="en-US" w:eastAsia="zh-CN"/>
              </w:rPr>
            </w:pPr>
          </w:p>
          <w:p w14:paraId="326BF6F3">
            <w:pPr>
              <w:pStyle w:val="2"/>
              <w:rPr>
                <w:rFonts w:hint="default" w:ascii="Times New Roman" w:hAnsi="Times New Roman" w:eastAsia="宋体" w:cs="Times New Roman"/>
                <w:color w:val="auto"/>
                <w:sz w:val="24"/>
                <w:szCs w:val="24"/>
                <w:highlight w:val="none"/>
                <w:lang w:val="en-US" w:eastAsia="zh-CN"/>
              </w:rPr>
            </w:pPr>
          </w:p>
          <w:p w14:paraId="092F5AB0">
            <w:pPr>
              <w:pStyle w:val="3"/>
              <w:rPr>
                <w:rFonts w:hint="default" w:ascii="Times New Roman" w:hAnsi="Times New Roman" w:eastAsia="宋体" w:cs="Times New Roman"/>
                <w:color w:val="auto"/>
                <w:sz w:val="24"/>
                <w:szCs w:val="24"/>
                <w:highlight w:val="none"/>
                <w:lang w:val="en-US" w:eastAsia="zh-CN"/>
              </w:rPr>
            </w:pPr>
          </w:p>
          <w:p w14:paraId="451E5C0E">
            <w:pPr>
              <w:rPr>
                <w:rFonts w:hint="default" w:ascii="Times New Roman" w:hAnsi="Times New Roman" w:eastAsia="宋体" w:cs="Times New Roman"/>
                <w:color w:val="auto"/>
                <w:sz w:val="24"/>
                <w:szCs w:val="24"/>
                <w:highlight w:val="none"/>
                <w:lang w:val="en-US" w:eastAsia="zh-CN"/>
              </w:rPr>
            </w:pPr>
          </w:p>
          <w:p w14:paraId="66E172AC">
            <w:pPr>
              <w:pStyle w:val="2"/>
              <w:rPr>
                <w:rFonts w:hint="default" w:ascii="Times New Roman" w:hAnsi="Times New Roman" w:eastAsia="宋体" w:cs="Times New Roman"/>
                <w:color w:val="auto"/>
                <w:sz w:val="24"/>
                <w:szCs w:val="24"/>
                <w:highlight w:val="none"/>
                <w:lang w:val="en-US" w:eastAsia="zh-CN"/>
              </w:rPr>
            </w:pPr>
          </w:p>
          <w:p w14:paraId="0BE0D102">
            <w:pPr>
              <w:pStyle w:val="3"/>
              <w:rPr>
                <w:rFonts w:hint="default" w:ascii="Times New Roman" w:hAnsi="Times New Roman" w:eastAsia="宋体" w:cs="Times New Roman"/>
                <w:color w:val="auto"/>
                <w:sz w:val="24"/>
                <w:szCs w:val="24"/>
                <w:highlight w:val="none"/>
                <w:lang w:val="en-US" w:eastAsia="zh-CN"/>
              </w:rPr>
            </w:pPr>
          </w:p>
          <w:p w14:paraId="2DEF880D">
            <w:pPr>
              <w:rPr>
                <w:rFonts w:hint="default" w:ascii="Times New Roman" w:hAnsi="Times New Roman" w:eastAsia="宋体" w:cs="Times New Roman"/>
                <w:color w:val="auto"/>
                <w:sz w:val="24"/>
                <w:szCs w:val="24"/>
                <w:highlight w:val="none"/>
                <w:lang w:val="en-US" w:eastAsia="zh-CN"/>
              </w:rPr>
            </w:pPr>
          </w:p>
          <w:p w14:paraId="56147791">
            <w:pPr>
              <w:pStyle w:val="2"/>
              <w:rPr>
                <w:rFonts w:hint="default" w:ascii="Times New Roman" w:hAnsi="Times New Roman" w:eastAsia="宋体" w:cs="Times New Roman"/>
                <w:color w:val="auto"/>
                <w:sz w:val="24"/>
                <w:szCs w:val="24"/>
                <w:highlight w:val="none"/>
                <w:lang w:val="en-US" w:eastAsia="zh-CN"/>
              </w:rPr>
            </w:pPr>
          </w:p>
          <w:p w14:paraId="3857E0E9">
            <w:pPr>
              <w:pStyle w:val="3"/>
              <w:rPr>
                <w:rFonts w:hint="default" w:ascii="Times New Roman" w:hAnsi="Times New Roman" w:eastAsia="宋体" w:cs="Times New Roman"/>
                <w:color w:val="auto"/>
                <w:sz w:val="24"/>
                <w:szCs w:val="24"/>
                <w:highlight w:val="none"/>
                <w:lang w:val="en-US" w:eastAsia="zh-CN"/>
              </w:rPr>
            </w:pPr>
          </w:p>
          <w:p w14:paraId="1CC68CF9">
            <w:pPr>
              <w:rPr>
                <w:rFonts w:hint="default" w:ascii="Times New Roman" w:hAnsi="Times New Roman" w:eastAsia="宋体" w:cs="Times New Roman"/>
                <w:color w:val="auto"/>
                <w:sz w:val="24"/>
                <w:szCs w:val="24"/>
                <w:highlight w:val="none"/>
                <w:lang w:val="en-US" w:eastAsia="zh-CN"/>
              </w:rPr>
            </w:pPr>
          </w:p>
          <w:p w14:paraId="77E278C9">
            <w:pPr>
              <w:pStyle w:val="2"/>
              <w:rPr>
                <w:rFonts w:hint="default" w:ascii="Times New Roman" w:hAnsi="Times New Roman" w:eastAsia="宋体" w:cs="Times New Roman"/>
                <w:color w:val="auto"/>
                <w:sz w:val="24"/>
                <w:szCs w:val="24"/>
                <w:highlight w:val="none"/>
                <w:lang w:val="en-US" w:eastAsia="zh-CN"/>
              </w:rPr>
            </w:pPr>
          </w:p>
          <w:p w14:paraId="7EC062EA">
            <w:pPr>
              <w:pStyle w:val="3"/>
              <w:rPr>
                <w:rFonts w:hint="default" w:ascii="Times New Roman" w:hAnsi="Times New Roman" w:eastAsia="宋体" w:cs="Times New Roman"/>
                <w:color w:val="auto"/>
                <w:sz w:val="24"/>
                <w:szCs w:val="24"/>
                <w:highlight w:val="none"/>
                <w:lang w:val="en-US" w:eastAsia="zh-CN"/>
              </w:rPr>
            </w:pPr>
          </w:p>
          <w:p w14:paraId="09AD2FF1">
            <w:pPr>
              <w:rPr>
                <w:rFonts w:hint="default" w:ascii="Times New Roman" w:hAnsi="Times New Roman" w:eastAsia="宋体" w:cs="Times New Roman"/>
                <w:color w:val="auto"/>
                <w:sz w:val="24"/>
                <w:szCs w:val="24"/>
                <w:highlight w:val="none"/>
                <w:lang w:val="en-US" w:eastAsia="zh-CN"/>
              </w:rPr>
            </w:pPr>
          </w:p>
          <w:p w14:paraId="18E1860C">
            <w:pPr>
              <w:pStyle w:val="2"/>
              <w:rPr>
                <w:rFonts w:hint="default" w:ascii="Times New Roman" w:hAnsi="Times New Roman" w:eastAsia="宋体" w:cs="Times New Roman"/>
                <w:color w:val="auto"/>
                <w:sz w:val="24"/>
                <w:szCs w:val="24"/>
                <w:highlight w:val="none"/>
                <w:lang w:val="en-US" w:eastAsia="zh-CN"/>
              </w:rPr>
            </w:pPr>
          </w:p>
          <w:p w14:paraId="1D886FAB">
            <w:pPr>
              <w:pStyle w:val="3"/>
              <w:rPr>
                <w:rFonts w:hint="default" w:ascii="Times New Roman" w:hAnsi="Times New Roman" w:eastAsia="宋体" w:cs="Times New Roman"/>
                <w:color w:val="auto"/>
                <w:sz w:val="24"/>
                <w:szCs w:val="24"/>
                <w:highlight w:val="none"/>
                <w:lang w:val="en-US" w:eastAsia="zh-CN"/>
              </w:rPr>
            </w:pPr>
          </w:p>
          <w:p w14:paraId="2AFC3BFA">
            <w:pPr>
              <w:rPr>
                <w:rFonts w:hint="default" w:ascii="Times New Roman" w:hAnsi="Times New Roman" w:eastAsia="宋体" w:cs="Times New Roman"/>
                <w:color w:val="auto"/>
                <w:sz w:val="24"/>
                <w:szCs w:val="24"/>
                <w:highlight w:val="none"/>
                <w:lang w:val="en-US" w:eastAsia="zh-CN"/>
              </w:rPr>
            </w:pPr>
          </w:p>
          <w:p w14:paraId="2745F9DF">
            <w:pPr>
              <w:pStyle w:val="2"/>
              <w:rPr>
                <w:rFonts w:hint="default" w:ascii="Times New Roman" w:hAnsi="Times New Roman" w:eastAsia="宋体" w:cs="Times New Roman"/>
                <w:color w:val="auto"/>
                <w:sz w:val="24"/>
                <w:szCs w:val="24"/>
                <w:highlight w:val="none"/>
                <w:lang w:val="en-US" w:eastAsia="zh-CN"/>
              </w:rPr>
            </w:pPr>
          </w:p>
          <w:p w14:paraId="126F109F">
            <w:pPr>
              <w:pStyle w:val="3"/>
              <w:rPr>
                <w:rFonts w:hint="default"/>
                <w:lang w:val="en-US" w:eastAsia="zh-CN"/>
              </w:rPr>
            </w:pPr>
          </w:p>
        </w:tc>
      </w:tr>
    </w:tbl>
    <w:p w14:paraId="0A5BBC8F">
      <w:pPr>
        <w:pStyle w:val="7"/>
        <w:keepNext/>
        <w:keepLines/>
        <w:pageBreakBefore w:val="0"/>
        <w:widowControl w:val="0"/>
        <w:numPr>
          <w:ilvl w:val="0"/>
          <w:numId w:val="2"/>
        </w:numPr>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Times New Roman"/>
          <w:b w:val="0"/>
          <w:snapToGrid w:val="0"/>
          <w:color w:val="auto"/>
          <w:kern w:val="0"/>
          <w:sz w:val="30"/>
          <w:szCs w:val="30"/>
          <w:highlight w:val="none"/>
          <w:lang w:val="en-US" w:eastAsia="zh-CN" w:bidi="ar-SA"/>
        </w:rPr>
      </w:pPr>
      <w:r>
        <w:rPr>
          <w:rFonts w:hint="eastAsia" w:ascii="黑体" w:hAnsi="黑体" w:eastAsia="黑体" w:cs="Times New Roman"/>
          <w:b w:val="0"/>
          <w:snapToGrid w:val="0"/>
          <w:color w:val="auto"/>
          <w:kern w:val="0"/>
          <w:sz w:val="30"/>
          <w:szCs w:val="30"/>
          <w:highlight w:val="none"/>
          <w:lang w:val="en-US" w:eastAsia="zh-CN" w:bidi="ar-SA"/>
        </w:rPr>
        <w:t>区域环境质量现状、环境保护目标及评价标准</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962"/>
      </w:tblGrid>
      <w:tr w14:paraId="58B7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7AE6F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snapToGrid w:val="0"/>
                <w:color w:val="auto"/>
                <w:sz w:val="30"/>
                <w:szCs w:val="30"/>
                <w:highlight w:val="none"/>
                <w:vertAlign w:val="baseline"/>
              </w:rPr>
            </w:pPr>
            <w:r>
              <w:rPr>
                <w:rFonts w:hint="eastAsia" w:ascii="宋体" w:hAnsi="宋体" w:cs="宋体"/>
                <w:color w:val="auto"/>
                <w:kern w:val="0"/>
                <w:szCs w:val="21"/>
                <w:highlight w:val="none"/>
              </w:rPr>
              <w:t>区域环境质量现状</w:t>
            </w:r>
          </w:p>
        </w:tc>
        <w:tc>
          <w:tcPr>
            <w:tcW w:w="7962" w:type="dxa"/>
          </w:tcPr>
          <w:p w14:paraId="65C53D69">
            <w:pPr>
              <w:pStyle w:val="8"/>
              <w:bidi w:val="0"/>
              <w:rPr>
                <w:color w:val="auto"/>
                <w:highlight w:val="none"/>
              </w:rPr>
            </w:pPr>
            <w:r>
              <w:rPr>
                <w:rFonts w:hint="eastAsia" w:ascii="Times New Roman" w:hAnsi="Times New Roman" w:eastAsia="宋体" w:cs="Times New Roman"/>
                <w:b/>
                <w:color w:val="auto"/>
                <w:kern w:val="2"/>
                <w:sz w:val="24"/>
                <w:szCs w:val="24"/>
                <w:highlight w:val="none"/>
                <w:lang w:val="en-US" w:eastAsia="zh-CN" w:bidi="ar-SA"/>
              </w:rPr>
              <w:t>3.1建设项目所在区域环境质量现状及主要环境问题（环境空气、地表水、地下水、声环境、生态环境等）：</w:t>
            </w:r>
          </w:p>
          <w:p w14:paraId="414BEF7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rightChars="0" w:firstLine="482" w:firstLineChars="200"/>
              <w:jc w:val="both"/>
              <w:textAlignment w:val="auto"/>
              <w:outlineLvl w:val="9"/>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b/>
                <w:bCs/>
                <w:color w:val="auto"/>
                <w:kern w:val="2"/>
                <w:sz w:val="24"/>
                <w:szCs w:val="24"/>
                <w:highlight w:val="none"/>
                <w:lang w:val="en-US" w:eastAsia="zh-CN" w:bidi="ar"/>
              </w:rPr>
              <w:t>1大气环境质量现状</w:t>
            </w:r>
          </w:p>
          <w:p w14:paraId="7BAFC35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rightChars="0" w:firstLine="480" w:firstLineChars="200"/>
              <w:jc w:val="both"/>
              <w:textAlignment w:val="auto"/>
              <w:outlineLvl w:val="9"/>
              <w:rPr>
                <w:rFonts w:hint="default" w:ascii="Times New Roman" w:hAnsi="Times New Roman" w:eastAsia="宋体" w:cs="Times New Roman"/>
                <w:color w:val="auto"/>
                <w:kern w:val="2"/>
                <w:sz w:val="24"/>
                <w:szCs w:val="24"/>
                <w:highlight w:val="none"/>
                <w:lang w:val="en-US" w:eastAsia="zh-CN" w:bidi="ar"/>
              </w:rPr>
            </w:pPr>
            <w:r>
              <w:rPr>
                <w:rFonts w:hint="eastAsia" w:cs="Times New Roman"/>
                <w:color w:val="auto"/>
                <w:kern w:val="2"/>
                <w:sz w:val="24"/>
                <w:szCs w:val="24"/>
                <w:highlight w:val="none"/>
                <w:lang w:val="en-US" w:eastAsia="zh-CN" w:bidi="ar"/>
              </w:rPr>
              <w:t>（1）</w:t>
            </w:r>
            <w:r>
              <w:rPr>
                <w:rFonts w:hint="default" w:ascii="Times New Roman" w:hAnsi="Times New Roman" w:eastAsia="宋体" w:cs="Times New Roman"/>
                <w:color w:val="auto"/>
                <w:kern w:val="2"/>
                <w:sz w:val="24"/>
                <w:szCs w:val="24"/>
                <w:highlight w:val="none"/>
                <w:lang w:val="en-US" w:eastAsia="zh-CN" w:bidi="ar"/>
              </w:rPr>
              <w:t>区域达标判断</w:t>
            </w:r>
          </w:p>
          <w:p w14:paraId="49364C0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rightChars="0" w:firstLine="480" w:firstLineChars="200"/>
              <w:jc w:val="both"/>
              <w:textAlignment w:val="auto"/>
              <w:outlineLvl w:val="9"/>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按照《环境影响评价技术导则·大气环境》（HJ2.2-2018）6.2.1.1的规定：项目所在区域达标判定，优先采用国家或地方生态环境主管部门公开发布的评价基准年环境质量公告或环境质量报告中的数据或结论。本次评价项目所在区达标判断依据为《</w:t>
            </w:r>
            <w:r>
              <w:rPr>
                <w:rFonts w:hint="eastAsia" w:ascii="Times New Roman" w:hAnsi="Times New Roman" w:eastAsia="宋体" w:cs="Times New Roman"/>
                <w:color w:val="auto"/>
                <w:kern w:val="2"/>
                <w:sz w:val="24"/>
                <w:szCs w:val="24"/>
                <w:highlight w:val="none"/>
                <w:lang w:val="en-US" w:eastAsia="zh-CN" w:bidi="ar"/>
              </w:rPr>
              <w:t>本溪市生态环境质量报告书</w:t>
            </w:r>
            <w:r>
              <w:rPr>
                <w:rFonts w:hint="default" w:ascii="Times New Roman" w:hAnsi="Times New Roman" w:eastAsia="宋体" w:cs="Times New Roman"/>
                <w:color w:val="auto"/>
                <w:kern w:val="2"/>
                <w:sz w:val="24"/>
                <w:szCs w:val="24"/>
                <w:highlight w:val="none"/>
                <w:lang w:val="en-US" w:eastAsia="zh-CN" w:bidi="ar"/>
              </w:rPr>
              <w:t>（202</w:t>
            </w:r>
            <w:r>
              <w:rPr>
                <w:rFonts w:hint="eastAsia" w:cs="Times New Roman"/>
                <w:color w:val="auto"/>
                <w:kern w:val="2"/>
                <w:sz w:val="24"/>
                <w:szCs w:val="24"/>
                <w:highlight w:val="none"/>
                <w:lang w:val="en-US" w:eastAsia="zh-CN" w:bidi="ar"/>
              </w:rPr>
              <w:t>4</w:t>
            </w:r>
            <w:r>
              <w:rPr>
                <w:rFonts w:hint="default" w:ascii="Times New Roman" w:hAnsi="Times New Roman" w:eastAsia="宋体" w:cs="Times New Roman"/>
                <w:color w:val="auto"/>
                <w:kern w:val="2"/>
                <w:sz w:val="24"/>
                <w:szCs w:val="24"/>
                <w:highlight w:val="none"/>
                <w:lang w:val="en-US" w:eastAsia="zh-CN" w:bidi="ar"/>
              </w:rPr>
              <w:t>年度）》，具体见下表。</w:t>
            </w:r>
          </w:p>
          <w:p w14:paraId="675556A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right="0" w:rightChars="0"/>
              <w:jc w:val="center"/>
              <w:textAlignment w:val="auto"/>
              <w:outlineLvl w:val="9"/>
              <w:rPr>
                <w:rFonts w:hint="default" w:ascii="黑体" w:hAnsi="黑体" w:eastAsia="黑体" w:cs="黑体"/>
                <w:color w:val="auto"/>
                <w:sz w:val="21"/>
                <w:szCs w:val="21"/>
                <w:highlight w:val="none"/>
                <w:lang w:val="en-US" w:eastAsia="zh-CN"/>
              </w:rPr>
            </w:pPr>
            <w:r>
              <w:rPr>
                <w:rFonts w:hint="default" w:ascii="黑体" w:hAnsi="黑体" w:eastAsia="黑体" w:cs="黑体"/>
                <w:color w:val="auto"/>
                <w:sz w:val="21"/>
                <w:szCs w:val="21"/>
                <w:highlight w:val="none"/>
                <w:lang w:val="en-US" w:eastAsia="zh-CN"/>
              </w:rPr>
              <w:t>表</w:t>
            </w:r>
            <w:r>
              <w:rPr>
                <w:rFonts w:hint="eastAsia" w:ascii="黑体" w:hAnsi="黑体" w:eastAsia="黑体" w:cs="黑体"/>
                <w:color w:val="auto"/>
                <w:sz w:val="21"/>
                <w:szCs w:val="21"/>
                <w:highlight w:val="none"/>
                <w:lang w:val="en-US" w:eastAsia="zh-CN"/>
              </w:rPr>
              <w:t>3-1</w:t>
            </w:r>
            <w:r>
              <w:rPr>
                <w:rFonts w:hint="default" w:ascii="黑体" w:hAnsi="黑体" w:eastAsia="黑体" w:cs="黑体"/>
                <w:color w:val="auto"/>
                <w:sz w:val="21"/>
                <w:szCs w:val="21"/>
                <w:highlight w:val="none"/>
                <w:lang w:val="en-US" w:eastAsia="zh-CN"/>
              </w:rPr>
              <w:t>本溪市环境空气质量现状评价表</w:t>
            </w:r>
          </w:p>
          <w:tbl>
            <w:tblPr>
              <w:tblStyle w:val="24"/>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104"/>
              <w:gridCol w:w="1132"/>
              <w:gridCol w:w="1104"/>
              <w:gridCol w:w="1044"/>
              <w:gridCol w:w="1185"/>
              <w:gridCol w:w="1134"/>
            </w:tblGrid>
            <w:tr w14:paraId="30240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9" w:type="pct"/>
                  <w:tcBorders>
                    <w:top w:val="single" w:color="auto" w:sz="12" w:space="0"/>
                    <w:left w:val="nil"/>
                    <w:bottom w:val="single" w:color="auto" w:sz="4" w:space="0"/>
                    <w:right w:val="single" w:color="auto" w:sz="4" w:space="0"/>
                    <w:tl2br w:val="nil"/>
                    <w:tr2bl w:val="nil"/>
                  </w:tcBorders>
                  <w:noWrap w:val="0"/>
                  <w:vAlign w:val="center"/>
                </w:tcPr>
                <w:p w14:paraId="74A7219F">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713" w:type="pct"/>
                  <w:tcBorders>
                    <w:top w:val="single" w:color="auto" w:sz="12" w:space="0"/>
                    <w:left w:val="single" w:color="auto" w:sz="4" w:space="0"/>
                    <w:bottom w:val="single" w:color="auto" w:sz="4" w:space="0"/>
                    <w:right w:val="single" w:color="auto" w:sz="4" w:space="0"/>
                    <w:tl2br w:val="nil"/>
                    <w:tr2bl w:val="nil"/>
                  </w:tcBorders>
                  <w:noWrap w:val="0"/>
                  <w:vAlign w:val="center"/>
                </w:tcPr>
                <w:p w14:paraId="0AD7DC3E">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31" w:type="pct"/>
                  <w:tcBorders>
                    <w:top w:val="single" w:color="auto" w:sz="12" w:space="0"/>
                    <w:left w:val="single" w:color="auto" w:sz="4" w:space="0"/>
                    <w:bottom w:val="single" w:color="auto" w:sz="4" w:space="0"/>
                    <w:right w:val="single" w:color="auto" w:sz="4" w:space="0"/>
                    <w:tl2br w:val="nil"/>
                    <w:tr2bl w:val="nil"/>
                  </w:tcBorders>
                  <w:noWrap w:val="0"/>
                  <w:vAlign w:val="center"/>
                </w:tcPr>
                <w:p w14:paraId="5A34825F">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13" w:type="pct"/>
                  <w:tcBorders>
                    <w:top w:val="single" w:color="auto" w:sz="12" w:space="0"/>
                    <w:left w:val="single" w:color="auto" w:sz="4" w:space="0"/>
                    <w:bottom w:val="single" w:color="auto" w:sz="4" w:space="0"/>
                    <w:right w:val="single" w:color="auto" w:sz="4" w:space="0"/>
                    <w:tl2br w:val="nil"/>
                    <w:tr2bl w:val="nil"/>
                  </w:tcBorders>
                  <w:noWrap w:val="0"/>
                  <w:vAlign w:val="center"/>
                </w:tcPr>
                <w:p w14:paraId="2A576E07">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674" w:type="pct"/>
                  <w:tcBorders>
                    <w:top w:val="single" w:color="auto" w:sz="12" w:space="0"/>
                    <w:left w:val="single" w:color="auto" w:sz="4" w:space="0"/>
                    <w:bottom w:val="single" w:color="auto" w:sz="4" w:space="0"/>
                    <w:right w:val="single" w:color="auto" w:sz="4" w:space="0"/>
                    <w:tl2br w:val="nil"/>
                    <w:tr2bl w:val="nil"/>
                  </w:tcBorders>
                  <w:noWrap w:val="0"/>
                  <w:vAlign w:val="center"/>
                </w:tcPr>
                <w:p w14:paraId="400B0F30">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65" w:type="pct"/>
                  <w:tcBorders>
                    <w:top w:val="single" w:color="auto" w:sz="12" w:space="0"/>
                    <w:left w:val="single" w:color="auto" w:sz="4" w:space="0"/>
                    <w:bottom w:val="single" w:color="auto" w:sz="4" w:space="0"/>
                    <w:right w:val="single" w:color="auto" w:sz="4" w:space="0"/>
                    <w:tl2br w:val="nil"/>
                    <w:tr2bl w:val="nil"/>
                  </w:tcBorders>
                  <w:noWrap w:val="0"/>
                  <w:vAlign w:val="center"/>
                </w:tcPr>
                <w:p w14:paraId="57B33757">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32" w:type="pct"/>
                  <w:tcBorders>
                    <w:top w:val="single" w:color="auto" w:sz="12" w:space="0"/>
                    <w:left w:val="single" w:color="auto" w:sz="4" w:space="0"/>
                    <w:bottom w:val="single" w:color="auto" w:sz="4" w:space="0"/>
                    <w:right w:val="nil"/>
                    <w:tl2br w:val="nil"/>
                    <w:tr2bl w:val="nil"/>
                  </w:tcBorders>
                  <w:noWrap w:val="0"/>
                  <w:vAlign w:val="center"/>
                </w:tcPr>
                <w:p w14:paraId="2CB97671">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r>
            <w:tr w14:paraId="48F60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9" w:type="pct"/>
                  <w:tcBorders>
                    <w:top w:val="single" w:color="auto" w:sz="4" w:space="0"/>
                    <w:left w:val="nil"/>
                    <w:bottom w:val="single" w:color="auto" w:sz="4" w:space="0"/>
                    <w:right w:val="single" w:color="auto" w:sz="4" w:space="0"/>
                    <w:tl2br w:val="nil"/>
                    <w:tr2bl w:val="nil"/>
                  </w:tcBorders>
                  <w:noWrap w:val="0"/>
                  <w:vAlign w:val="center"/>
                </w:tcPr>
                <w:p w14:paraId="6BBB76DC">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202</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年</w:t>
                  </w:r>
                </w:p>
              </w:tc>
              <w:tc>
                <w:tcPr>
                  <w:tcW w:w="7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035C1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30.5</w:t>
                  </w:r>
                </w:p>
              </w:tc>
              <w:tc>
                <w:tcPr>
                  <w:tcW w:w="7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BE393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c>
                <w:tcPr>
                  <w:tcW w:w="7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1A066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10</w:t>
                  </w:r>
                </w:p>
              </w:tc>
              <w:tc>
                <w:tcPr>
                  <w:tcW w:w="67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7A7F8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28</w:t>
                  </w:r>
                </w:p>
              </w:tc>
              <w:tc>
                <w:tcPr>
                  <w:tcW w:w="76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494D77">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1.8</w:t>
                  </w:r>
                </w:p>
              </w:tc>
              <w:tc>
                <w:tcPr>
                  <w:tcW w:w="732" w:type="pct"/>
                  <w:tcBorders>
                    <w:top w:val="single" w:color="auto" w:sz="4" w:space="0"/>
                    <w:left w:val="single" w:color="auto" w:sz="4" w:space="0"/>
                    <w:bottom w:val="single" w:color="auto" w:sz="4" w:space="0"/>
                    <w:right w:val="nil"/>
                    <w:tl2br w:val="nil"/>
                    <w:tr2bl w:val="nil"/>
                  </w:tcBorders>
                  <w:noWrap w:val="0"/>
                  <w:vAlign w:val="center"/>
                </w:tcPr>
                <w:p w14:paraId="6C01407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140</w:t>
                  </w:r>
                </w:p>
              </w:tc>
            </w:tr>
            <w:tr w14:paraId="79165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9" w:type="pct"/>
                  <w:tcBorders>
                    <w:top w:val="single" w:color="auto" w:sz="4" w:space="0"/>
                    <w:left w:val="nil"/>
                    <w:bottom w:val="single" w:color="auto" w:sz="4" w:space="0"/>
                    <w:right w:val="single" w:color="auto" w:sz="4" w:space="0"/>
                    <w:tl2br w:val="nil"/>
                    <w:tr2bl w:val="nil"/>
                  </w:tcBorders>
                  <w:noWrap w:val="0"/>
                  <w:vAlign w:val="center"/>
                </w:tcPr>
                <w:p w14:paraId="0CEBAFAA">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w:t>
                  </w:r>
                </w:p>
              </w:tc>
              <w:tc>
                <w:tcPr>
                  <w:tcW w:w="7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3F79AB">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w:t>
                  </w:r>
                </w:p>
              </w:tc>
              <w:tc>
                <w:tcPr>
                  <w:tcW w:w="7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C52BD6">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71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95DE94">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67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F832F7">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76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C1CCB2">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732" w:type="pct"/>
                  <w:tcBorders>
                    <w:top w:val="single" w:color="auto" w:sz="4" w:space="0"/>
                    <w:left w:val="single" w:color="auto" w:sz="4" w:space="0"/>
                    <w:bottom w:val="single" w:color="auto" w:sz="4" w:space="0"/>
                    <w:right w:val="nil"/>
                    <w:tl2br w:val="nil"/>
                    <w:tr2bl w:val="nil"/>
                  </w:tcBorders>
                  <w:noWrap w:val="0"/>
                  <w:vAlign w:val="center"/>
                </w:tcPr>
                <w:p w14:paraId="49F9776F">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r>
            <w:tr w14:paraId="6BA094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9" w:type="pct"/>
                  <w:tcBorders>
                    <w:top w:val="single" w:color="auto" w:sz="4" w:space="0"/>
                    <w:left w:val="nil"/>
                    <w:bottom w:val="single" w:color="auto" w:sz="12" w:space="0"/>
                    <w:right w:val="single" w:color="auto" w:sz="4" w:space="0"/>
                    <w:tl2br w:val="nil"/>
                    <w:tr2bl w:val="nil"/>
                  </w:tcBorders>
                  <w:noWrap w:val="0"/>
                  <w:vAlign w:val="center"/>
                </w:tcPr>
                <w:p w14:paraId="14855E92">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是否达标</w:t>
                  </w:r>
                </w:p>
              </w:tc>
              <w:tc>
                <w:tcPr>
                  <w:tcW w:w="713" w:type="pct"/>
                  <w:tcBorders>
                    <w:top w:val="single" w:color="auto" w:sz="4" w:space="0"/>
                    <w:left w:val="single" w:color="auto" w:sz="4" w:space="0"/>
                    <w:bottom w:val="single" w:color="auto" w:sz="12" w:space="0"/>
                    <w:right w:val="single" w:color="auto" w:sz="4" w:space="0"/>
                    <w:tl2br w:val="nil"/>
                    <w:tr2bl w:val="nil"/>
                  </w:tcBorders>
                  <w:noWrap w:val="0"/>
                  <w:vAlign w:val="center"/>
                </w:tcPr>
                <w:p w14:paraId="7EA3A358">
                  <w:pPr>
                    <w:adjustRightInd w:val="0"/>
                    <w:snapToGrid w:val="0"/>
                    <w:spacing w:beforeLines="0" w:afterLines="0"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c>
                <w:tcPr>
                  <w:tcW w:w="731" w:type="pct"/>
                  <w:tcBorders>
                    <w:top w:val="single" w:color="auto" w:sz="4" w:space="0"/>
                    <w:left w:val="single" w:color="auto" w:sz="4" w:space="0"/>
                    <w:bottom w:val="single" w:color="auto" w:sz="12" w:space="0"/>
                    <w:right w:val="single" w:color="auto" w:sz="4" w:space="0"/>
                    <w:tl2br w:val="nil"/>
                    <w:tr2bl w:val="nil"/>
                  </w:tcBorders>
                  <w:noWrap w:val="0"/>
                  <w:vAlign w:val="center"/>
                </w:tcPr>
                <w:p w14:paraId="64BDD672">
                  <w:pPr>
                    <w:adjustRightInd w:val="0"/>
                    <w:snapToGrid w:val="0"/>
                    <w:spacing w:beforeLines="0" w:afterLines="0"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c>
                <w:tcPr>
                  <w:tcW w:w="713" w:type="pct"/>
                  <w:tcBorders>
                    <w:top w:val="single" w:color="auto" w:sz="4" w:space="0"/>
                    <w:left w:val="single" w:color="auto" w:sz="4" w:space="0"/>
                    <w:bottom w:val="single" w:color="auto" w:sz="12" w:space="0"/>
                    <w:right w:val="single" w:color="auto" w:sz="4" w:space="0"/>
                    <w:tl2br w:val="nil"/>
                    <w:tr2bl w:val="nil"/>
                  </w:tcBorders>
                  <w:noWrap w:val="0"/>
                  <w:vAlign w:val="center"/>
                </w:tcPr>
                <w:p w14:paraId="3BFFC07A">
                  <w:pPr>
                    <w:pStyle w:val="2"/>
                    <w:adjustRightInd w:val="0"/>
                    <w:snapToGrid w:val="0"/>
                    <w:spacing w:beforeLines="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c>
                <w:tcPr>
                  <w:tcW w:w="674" w:type="pct"/>
                  <w:tcBorders>
                    <w:top w:val="single" w:color="auto" w:sz="4" w:space="0"/>
                    <w:left w:val="single" w:color="auto" w:sz="4" w:space="0"/>
                    <w:bottom w:val="single" w:color="auto" w:sz="12" w:space="0"/>
                    <w:right w:val="single" w:color="auto" w:sz="4" w:space="0"/>
                    <w:tl2br w:val="nil"/>
                    <w:tr2bl w:val="nil"/>
                  </w:tcBorders>
                  <w:noWrap w:val="0"/>
                  <w:vAlign w:val="center"/>
                </w:tcPr>
                <w:p w14:paraId="5C777126">
                  <w:pPr>
                    <w:pStyle w:val="2"/>
                    <w:adjustRightInd w:val="0"/>
                    <w:snapToGrid w:val="0"/>
                    <w:spacing w:beforeLines="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c>
                <w:tcPr>
                  <w:tcW w:w="765" w:type="pct"/>
                  <w:tcBorders>
                    <w:top w:val="single" w:color="auto" w:sz="4" w:space="0"/>
                    <w:left w:val="single" w:color="auto" w:sz="4" w:space="0"/>
                    <w:bottom w:val="single" w:color="auto" w:sz="12" w:space="0"/>
                    <w:right w:val="single" w:color="auto" w:sz="4" w:space="0"/>
                    <w:tl2br w:val="nil"/>
                    <w:tr2bl w:val="nil"/>
                  </w:tcBorders>
                  <w:noWrap w:val="0"/>
                  <w:vAlign w:val="center"/>
                </w:tcPr>
                <w:p w14:paraId="169A408E">
                  <w:pPr>
                    <w:pStyle w:val="2"/>
                    <w:adjustRightInd w:val="0"/>
                    <w:snapToGrid w:val="0"/>
                    <w:spacing w:beforeLines="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c>
                <w:tcPr>
                  <w:tcW w:w="732" w:type="pct"/>
                  <w:tcBorders>
                    <w:top w:val="single" w:color="auto" w:sz="4" w:space="0"/>
                    <w:left w:val="single" w:color="auto" w:sz="4" w:space="0"/>
                    <w:bottom w:val="single" w:color="auto" w:sz="12" w:space="0"/>
                    <w:right w:val="nil"/>
                    <w:tl2br w:val="nil"/>
                    <w:tr2bl w:val="nil"/>
                  </w:tcBorders>
                  <w:noWrap w:val="0"/>
                  <w:vAlign w:val="center"/>
                </w:tcPr>
                <w:p w14:paraId="720519F5">
                  <w:pPr>
                    <w:pStyle w:val="2"/>
                    <w:adjustRightInd w:val="0"/>
                    <w:snapToGrid w:val="0"/>
                    <w:spacing w:beforeLines="0" w:afterLines="0" w:line="24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w:t>
                  </w:r>
                </w:p>
              </w:tc>
            </w:tr>
          </w:tbl>
          <w:p w14:paraId="546245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highlight w:val="none"/>
                <w:shd w:val="clear" w:color="auto" w:fill="auto"/>
                <w:lang w:val="en-US" w:eastAsia="zh-CN"/>
              </w:rPr>
            </w:pPr>
            <w:r>
              <w:rPr>
                <w:rFonts w:hint="default" w:ascii="Times New Roman" w:hAnsi="Times New Roman" w:eastAsia="宋体" w:cs="Times New Roman"/>
                <w:color w:val="auto"/>
                <w:kern w:val="2"/>
                <w:sz w:val="24"/>
                <w:szCs w:val="24"/>
                <w:highlight w:val="none"/>
                <w:lang w:val="en-US" w:eastAsia="en-US" w:bidi="ar"/>
              </w:rPr>
              <w:t>由上表可知，202</w:t>
            </w:r>
            <w:r>
              <w:rPr>
                <w:rFonts w:hint="eastAsia" w:ascii="Times New Roman" w:hAnsi="Times New Roman" w:eastAsia="宋体" w:cs="Times New Roman"/>
                <w:color w:val="auto"/>
                <w:kern w:val="2"/>
                <w:sz w:val="24"/>
                <w:szCs w:val="24"/>
                <w:highlight w:val="none"/>
                <w:lang w:val="en-US" w:eastAsia="zh-CN" w:bidi="ar"/>
              </w:rPr>
              <w:t>4</w:t>
            </w:r>
            <w:r>
              <w:rPr>
                <w:rFonts w:hint="default" w:ascii="Times New Roman" w:hAnsi="Times New Roman" w:eastAsia="宋体" w:cs="Times New Roman"/>
                <w:color w:val="auto"/>
                <w:kern w:val="2"/>
                <w:sz w:val="24"/>
                <w:szCs w:val="24"/>
                <w:highlight w:val="none"/>
                <w:lang w:val="en-US" w:eastAsia="en-US" w:bidi="ar"/>
              </w:rPr>
              <w:t>年度本溪市环境空气中各污染物浓度均满足国家《环境空气质量标准》(GB3095-20</w:t>
            </w:r>
            <w:r>
              <w:rPr>
                <w:rFonts w:hint="eastAsia" w:cs="Times New Roman"/>
                <w:color w:val="auto"/>
                <w:kern w:val="2"/>
                <w:sz w:val="24"/>
                <w:szCs w:val="24"/>
                <w:highlight w:val="none"/>
                <w:lang w:val="en-US" w:eastAsia="zh-CN" w:bidi="ar"/>
              </w:rPr>
              <w:t>12</w:t>
            </w:r>
            <w:r>
              <w:rPr>
                <w:rFonts w:hint="default" w:ascii="Times New Roman" w:hAnsi="Times New Roman" w:eastAsia="宋体" w:cs="Times New Roman"/>
                <w:color w:val="auto"/>
                <w:kern w:val="2"/>
                <w:sz w:val="24"/>
                <w:szCs w:val="24"/>
                <w:highlight w:val="none"/>
                <w:lang w:val="en-US" w:eastAsia="en-US" w:bidi="ar"/>
              </w:rPr>
              <w:t>)及修改单中二级标准要求，属于达标区。</w:t>
            </w:r>
          </w:p>
          <w:p w14:paraId="316000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shd w:val="clear" w:color="auto" w:fill="auto"/>
              </w:rPr>
            </w:pPr>
            <w:r>
              <w:rPr>
                <w:rFonts w:hint="eastAsia" w:cs="Times New Roman"/>
                <w:color w:val="auto"/>
                <w:sz w:val="24"/>
                <w:highlight w:val="none"/>
                <w:shd w:val="clear" w:color="auto" w:fill="auto"/>
                <w:lang w:val="en-US" w:eastAsia="zh-CN"/>
              </w:rPr>
              <w:t>（2）</w:t>
            </w:r>
            <w:r>
              <w:rPr>
                <w:rFonts w:hint="default" w:ascii="Times New Roman" w:hAnsi="Times New Roman" w:eastAsia="宋体" w:cs="Times New Roman"/>
                <w:color w:val="auto"/>
                <w:sz w:val="24"/>
                <w:highlight w:val="none"/>
                <w:shd w:val="clear" w:color="auto" w:fill="auto"/>
                <w:lang w:val="en-US" w:eastAsia="zh-CN"/>
              </w:rPr>
              <w:t>补充监测</w:t>
            </w:r>
          </w:p>
          <w:p w14:paraId="3848D3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highlight w:val="green"/>
                <w:lang w:val="en-US" w:eastAsia="zh-CN"/>
              </w:rPr>
            </w:pPr>
            <w:r>
              <w:rPr>
                <w:rFonts w:hint="eastAsia" w:ascii="Times New Roman" w:hAnsi="Times New Roman" w:eastAsia="宋体" w:cs="Times New Roman"/>
                <w:color w:val="auto"/>
                <w:kern w:val="0"/>
                <w:sz w:val="24"/>
                <w:highlight w:val="none"/>
                <w:lang w:val="en-US" w:eastAsia="zh-CN"/>
              </w:rPr>
              <w:t>本项目运行过程中主要废气污染物为企业</w:t>
            </w:r>
            <w:r>
              <w:rPr>
                <w:rFonts w:hint="eastAsia" w:cs="Times New Roman"/>
                <w:color w:val="auto"/>
                <w:kern w:val="0"/>
                <w:sz w:val="24"/>
                <w:highlight w:val="none"/>
                <w:lang w:val="en-US" w:eastAsia="zh-CN"/>
              </w:rPr>
              <w:t>转输</w:t>
            </w:r>
            <w:r>
              <w:rPr>
                <w:rFonts w:hint="eastAsia" w:ascii="Times New Roman" w:hAnsi="Times New Roman" w:eastAsia="宋体" w:cs="Times New Roman"/>
                <w:color w:val="auto"/>
                <w:kern w:val="0"/>
                <w:sz w:val="24"/>
                <w:highlight w:val="none"/>
                <w:lang w:val="en-US" w:eastAsia="zh-CN"/>
              </w:rPr>
              <w:t>、充装过程中产生的少量逸散气体，主要为氮气、二氧化碳以及一氧化二氮，其中氮气、二氧化碳</w:t>
            </w:r>
            <w:r>
              <w:rPr>
                <w:rFonts w:hint="default" w:ascii="Times New Roman" w:hAnsi="Times New Roman" w:eastAsia="宋体" w:cs="Times New Roman"/>
                <w:color w:val="auto"/>
                <w:kern w:val="0"/>
                <w:sz w:val="24"/>
                <w:highlight w:val="none"/>
                <w:lang w:val="en-US" w:eastAsia="zh-CN"/>
              </w:rPr>
              <w:t>均为空气中的主要组分，</w:t>
            </w:r>
            <w:r>
              <w:rPr>
                <w:rFonts w:hint="eastAsia" w:ascii="Times New Roman" w:hAnsi="Times New Roman" w:eastAsia="宋体" w:cs="Times New Roman"/>
                <w:color w:val="auto"/>
                <w:kern w:val="0"/>
                <w:sz w:val="24"/>
                <w:highlight w:val="none"/>
                <w:lang w:val="en-US" w:eastAsia="zh-CN"/>
              </w:rPr>
              <w:t>不属于污染物。一氧化二氮属于氮氧化物类别，根据《建设项目环境影响报告表编制技术指南》：“</w:t>
            </w:r>
            <w:r>
              <w:rPr>
                <w:rFonts w:hint="default" w:ascii="Times New Roman" w:hAnsi="Times New Roman" w:eastAsia="宋体" w:cs="Times New Roman"/>
                <w:color w:val="auto"/>
                <w:kern w:val="0"/>
                <w:sz w:val="24"/>
                <w:highlight w:val="none"/>
                <w:lang w:val="en-US" w:eastAsia="zh-CN"/>
              </w:rPr>
              <w:t>排放</w:t>
            </w:r>
            <w:r>
              <w:rPr>
                <w:rFonts w:hint="eastAsia" w:ascii="Times New Roman" w:hAnsi="Times New Roman" w:eastAsia="宋体" w:cs="Times New Roman"/>
                <w:color w:val="auto"/>
                <w:kern w:val="0"/>
                <w:sz w:val="24"/>
                <w:highlight w:val="none"/>
                <w:lang w:val="en-US" w:eastAsia="zh-CN"/>
              </w:rPr>
              <w:t>国家、地方环境空气质量标准中有标准限值要求的特征污染物时，引用建设项目周边5千米范围内近3年的现有监测数据，无相关数据的选择当季主导风向下风向1个点位补充不少于3天的监测数据。”</w:t>
            </w:r>
          </w:p>
          <w:p w14:paraId="5F65A9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本项目排放的特征污染物中</w:t>
            </w:r>
            <w:r>
              <w:rPr>
                <w:rFonts w:hint="eastAsia" w:cs="Times New Roman"/>
                <w:color w:val="auto"/>
                <w:kern w:val="0"/>
                <w:sz w:val="24"/>
                <w:highlight w:val="none"/>
                <w:lang w:val="en-US" w:eastAsia="zh-CN"/>
              </w:rPr>
              <w:t>一氧化二氮（化学定义归属氮氧化物类别）</w:t>
            </w:r>
            <w:r>
              <w:rPr>
                <w:rFonts w:hint="eastAsia" w:ascii="Times New Roman" w:hAnsi="Times New Roman" w:eastAsia="宋体" w:cs="Times New Roman"/>
                <w:color w:val="auto"/>
                <w:kern w:val="0"/>
                <w:sz w:val="24"/>
                <w:highlight w:val="none"/>
                <w:lang w:val="en-US" w:eastAsia="zh-CN"/>
              </w:rPr>
              <w:t>有对应环境质量标准，本次评价</w:t>
            </w:r>
            <w:r>
              <w:rPr>
                <w:rFonts w:hint="eastAsia" w:cs="Times New Roman"/>
                <w:color w:val="auto"/>
                <w:kern w:val="0"/>
                <w:sz w:val="24"/>
                <w:highlight w:val="none"/>
                <w:lang w:val="en-US" w:eastAsia="zh-CN"/>
              </w:rPr>
              <w:t>引用</w:t>
            </w:r>
            <w:r>
              <w:rPr>
                <w:rFonts w:hint="default" w:ascii="Times New Roman" w:hAnsi="Times New Roman" w:eastAsia="宋体" w:cs="Times New Roman"/>
                <w:color w:val="auto"/>
                <w:kern w:val="0"/>
                <w:sz w:val="24"/>
                <w:highlight w:val="none"/>
                <w:lang w:val="en-US" w:eastAsia="zh-CN"/>
              </w:rPr>
              <w:t>沈阳市中正检测技术有限公司</w:t>
            </w:r>
            <w:r>
              <w:rPr>
                <w:rFonts w:hint="eastAsia" w:ascii="Times New Roman" w:hAnsi="Times New Roman" w:eastAsia="宋体" w:cs="Times New Roman"/>
                <w:color w:val="auto"/>
                <w:kern w:val="0"/>
                <w:sz w:val="24"/>
                <w:highlight w:val="none"/>
                <w:lang w:val="en-US" w:eastAsia="zh-CN"/>
              </w:rPr>
              <w:t>于</w:t>
            </w:r>
            <w:r>
              <w:rPr>
                <w:rFonts w:hint="eastAsia" w:eastAsia="宋体" w:cs="Times New Roman"/>
                <w:color w:val="auto"/>
                <w:sz w:val="24"/>
                <w:highlight w:val="none"/>
                <w:lang w:val="en-US" w:eastAsia="zh-CN"/>
              </w:rPr>
              <w:t>2025年1月4日至10日</w:t>
            </w:r>
            <w:r>
              <w:rPr>
                <w:rFonts w:hint="eastAsia" w:ascii="Times New Roman" w:hAnsi="Times New Roman" w:eastAsia="宋体" w:cs="Times New Roman"/>
                <w:color w:val="auto"/>
                <w:kern w:val="0"/>
                <w:sz w:val="24"/>
                <w:highlight w:val="none"/>
                <w:lang w:val="en-US" w:eastAsia="zh-CN"/>
              </w:rPr>
              <w:t>对</w:t>
            </w:r>
            <w:bookmarkStart w:id="2" w:name="OLE_LINK240"/>
            <w:r>
              <w:rPr>
                <w:rFonts w:hint="eastAsia" w:ascii="Times New Roman" w:hAnsi="Times New Roman" w:eastAsia="宋体" w:cs="Times New Roman"/>
                <w:color w:val="auto"/>
                <w:lang w:val="en-US" w:eastAsia="zh-CN"/>
              </w:rPr>
              <w:t>本溪经济技术开发区香槐路</w:t>
            </w:r>
            <w:bookmarkEnd w:id="2"/>
            <w:r>
              <w:rPr>
                <w:rFonts w:hint="eastAsia" w:ascii="Times New Roman" w:hAnsi="Times New Roman" w:eastAsia="宋体" w:cs="Times New Roman"/>
                <w:color w:val="auto"/>
                <w:lang w:val="en-US" w:eastAsia="zh-CN"/>
              </w:rPr>
              <w:t>附近</w:t>
            </w:r>
            <w:r>
              <w:rPr>
                <w:rFonts w:hint="eastAsia" w:ascii="Times New Roman" w:hAnsi="Times New Roman" w:eastAsia="宋体" w:cs="Times New Roman"/>
                <w:color w:val="auto"/>
                <w:kern w:val="0"/>
                <w:sz w:val="24"/>
                <w:highlight w:val="none"/>
                <w:lang w:val="en-US" w:eastAsia="zh-CN"/>
              </w:rPr>
              <w:t>环境空气中</w:t>
            </w:r>
            <w:r>
              <w:rPr>
                <w:rFonts w:hint="eastAsia" w:cs="Times New Roman"/>
                <w:color w:val="auto"/>
                <w:kern w:val="0"/>
                <w:sz w:val="24"/>
                <w:highlight w:val="none"/>
                <w:lang w:val="en-US" w:eastAsia="zh-CN"/>
              </w:rPr>
              <w:t>氮氧化物</w:t>
            </w:r>
            <w:r>
              <w:rPr>
                <w:rFonts w:hint="eastAsia" w:ascii="Times New Roman" w:hAnsi="Times New Roman" w:eastAsia="宋体" w:cs="Times New Roman"/>
                <w:color w:val="auto"/>
                <w:kern w:val="0"/>
                <w:sz w:val="24"/>
                <w:highlight w:val="none"/>
                <w:lang w:val="en-US" w:eastAsia="zh-CN"/>
              </w:rPr>
              <w:t>进行环境质量现状监测</w:t>
            </w:r>
            <w:r>
              <w:rPr>
                <w:rFonts w:hint="eastAsia" w:cs="Times New Roman"/>
                <w:color w:val="auto"/>
                <w:kern w:val="0"/>
                <w:sz w:val="24"/>
                <w:highlight w:val="none"/>
                <w:lang w:val="en-US" w:eastAsia="zh-CN"/>
              </w:rPr>
              <w:t>数据进行达标判定。该监测点位位于本项目南侧1.1km，满足引用现有监测数据要求。</w:t>
            </w:r>
            <w:r>
              <w:rPr>
                <w:rFonts w:hint="eastAsia" w:ascii="Times New Roman" w:hAnsi="Times New Roman" w:eastAsia="宋体" w:cs="Times New Roman"/>
                <w:color w:val="auto"/>
                <w:kern w:val="0"/>
                <w:sz w:val="24"/>
                <w:highlight w:val="none"/>
                <w:lang w:val="en-US" w:eastAsia="zh-CN"/>
              </w:rPr>
              <w:t>具体监测情况如下表所示。环境质量现状监测报告见附件</w:t>
            </w:r>
            <w:r>
              <w:rPr>
                <w:rFonts w:hint="eastAsia" w:cs="Times New Roman"/>
                <w:color w:val="auto"/>
                <w:kern w:val="0"/>
                <w:sz w:val="24"/>
                <w:highlight w:val="none"/>
                <w:lang w:val="en-US" w:eastAsia="zh-CN"/>
              </w:rPr>
              <w:t>3</w:t>
            </w:r>
            <w:r>
              <w:rPr>
                <w:rFonts w:hint="eastAsia" w:ascii="Times New Roman" w:hAnsi="Times New Roman" w:eastAsia="宋体" w:cs="Times New Roman"/>
                <w:color w:val="auto"/>
                <w:kern w:val="0"/>
                <w:sz w:val="24"/>
                <w:highlight w:val="none"/>
                <w:lang w:val="en-US" w:eastAsia="zh-CN"/>
              </w:rPr>
              <w:t>，环境质量现状监测点位与本项目相对位置关系见附图</w:t>
            </w:r>
            <w:r>
              <w:rPr>
                <w:rFonts w:hint="eastAsia" w:cs="Times New Roman"/>
                <w:color w:val="auto"/>
                <w:kern w:val="0"/>
                <w:sz w:val="24"/>
                <w:highlight w:val="none"/>
                <w:lang w:val="en-US" w:eastAsia="zh-CN"/>
              </w:rPr>
              <w:t>4</w:t>
            </w:r>
            <w:r>
              <w:rPr>
                <w:rFonts w:hint="eastAsia" w:ascii="Times New Roman" w:hAnsi="Times New Roman" w:eastAsia="宋体" w:cs="Times New Roman"/>
                <w:color w:val="auto"/>
                <w:kern w:val="0"/>
                <w:sz w:val="24"/>
                <w:highlight w:val="none"/>
                <w:lang w:val="en-US" w:eastAsia="zh-CN"/>
              </w:rPr>
              <w:t>。</w:t>
            </w:r>
          </w:p>
          <w:p w14:paraId="737162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该监测点监测结果见下表。</w:t>
            </w:r>
          </w:p>
          <w:p w14:paraId="12599F4F">
            <w:pPr>
              <w:pStyle w:val="23"/>
              <w:keepNext w:val="0"/>
              <w:keepLines w:val="0"/>
              <w:pageBreakBefore w:val="0"/>
              <w:widowControl w:val="0"/>
              <w:kinsoku/>
              <w:wordWrap w:val="0"/>
              <w:overflowPunct/>
              <w:topLinePunct w:val="0"/>
              <w:autoSpaceDE/>
              <w:autoSpaceDN/>
              <w:bidi w:val="0"/>
              <w:adjustRightInd/>
              <w:snapToGrid/>
              <w:spacing w:after="0" w:afterLines="0" w:line="240" w:lineRule="auto"/>
              <w:ind w:left="0" w:leftChars="0" w:right="0" w:firstLine="0" w:firstLineChars="0"/>
              <w:jc w:val="center"/>
              <w:textAlignment w:val="auto"/>
              <w:rPr>
                <w:rFonts w:hint="eastAsia" w:ascii="黑体" w:hAnsi="黑体" w:eastAsia="黑体" w:cs="黑体"/>
                <w:b w:val="0"/>
                <w:bCs/>
                <w:color w:val="auto"/>
                <w:kern w:val="2"/>
                <w:sz w:val="21"/>
                <w:szCs w:val="24"/>
                <w:highlight w:val="none"/>
                <w:lang w:val="en-US" w:eastAsia="zh-CN" w:bidi="ar-SA"/>
              </w:rPr>
            </w:pPr>
            <w:r>
              <w:rPr>
                <w:rFonts w:hint="eastAsia" w:ascii="黑体" w:hAnsi="黑体" w:eastAsia="黑体" w:cs="黑体"/>
                <w:b w:val="0"/>
                <w:bCs/>
                <w:color w:val="auto"/>
                <w:kern w:val="2"/>
                <w:sz w:val="21"/>
                <w:szCs w:val="24"/>
                <w:highlight w:val="none"/>
                <w:lang w:val="en-US" w:eastAsia="zh-CN" w:bidi="ar-SA"/>
              </w:rPr>
              <w:t>表3-2环境空气监测结果一览表</w:t>
            </w:r>
          </w:p>
          <w:tbl>
            <w:tblPr>
              <w:tblStyle w:val="48"/>
              <w:tblW w:w="4996"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560"/>
              <w:gridCol w:w="1010"/>
              <w:gridCol w:w="871"/>
              <w:gridCol w:w="1154"/>
              <w:gridCol w:w="930"/>
              <w:gridCol w:w="685"/>
              <w:gridCol w:w="1021"/>
              <w:gridCol w:w="634"/>
              <w:gridCol w:w="875"/>
            </w:tblGrid>
            <w:tr w14:paraId="61678943">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847" w:hRule="atLeast"/>
              </w:trPr>
              <w:tc>
                <w:tcPr>
                  <w:tcW w:w="361" w:type="pct"/>
                  <w:tcBorders>
                    <w:tl2br w:val="nil"/>
                    <w:tr2bl w:val="nil"/>
                  </w:tcBorders>
                  <w:vAlign w:val="center"/>
                </w:tcPr>
                <w:p w14:paraId="533771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2"/>
                      <w:sz w:val="21"/>
                      <w:szCs w:val="21"/>
                      <w:highlight w:val="none"/>
                      <w:lang w:eastAsia="en-US"/>
                    </w:rPr>
                    <w:t>评</w:t>
                  </w:r>
                  <w:r>
                    <w:rPr>
                      <w:rFonts w:hint="default" w:ascii="Times New Roman" w:hAnsi="Times New Roman" w:eastAsia="Times New Roman" w:cs="Times New Roman"/>
                      <w:color w:val="auto"/>
                      <w:spacing w:val="-1"/>
                      <w:sz w:val="21"/>
                      <w:szCs w:val="21"/>
                      <w:highlight w:val="none"/>
                      <w:lang w:eastAsia="en-US"/>
                    </w:rPr>
                    <w:t>价</w:t>
                  </w:r>
                </w:p>
                <w:p w14:paraId="566A9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6"/>
                      <w:sz w:val="21"/>
                      <w:szCs w:val="21"/>
                      <w:highlight w:val="none"/>
                      <w:lang w:eastAsia="en-US"/>
                    </w:rPr>
                    <w:t>因子</w:t>
                  </w:r>
                </w:p>
              </w:tc>
              <w:tc>
                <w:tcPr>
                  <w:tcW w:w="652" w:type="pct"/>
                  <w:tcBorders>
                    <w:tl2br w:val="nil"/>
                    <w:tr2bl w:val="nil"/>
                  </w:tcBorders>
                  <w:vAlign w:val="center"/>
                </w:tcPr>
                <w:p w14:paraId="2224E4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4"/>
                      <w:sz w:val="21"/>
                      <w:szCs w:val="21"/>
                      <w:highlight w:val="none"/>
                      <w:lang w:val="en-US" w:eastAsia="zh-CN"/>
                    </w:rPr>
                  </w:pPr>
                  <w:r>
                    <w:rPr>
                      <w:rFonts w:hint="default" w:ascii="Times New Roman" w:hAnsi="Times New Roman" w:eastAsia="Times New Roman" w:cs="Times New Roman"/>
                      <w:color w:val="auto"/>
                      <w:spacing w:val="-2"/>
                      <w:sz w:val="21"/>
                      <w:szCs w:val="21"/>
                      <w:highlight w:val="none"/>
                      <w:lang w:eastAsia="en-US"/>
                    </w:rPr>
                    <w:t>监测</w:t>
                  </w:r>
                  <w:r>
                    <w:rPr>
                      <w:rFonts w:hint="default" w:ascii="Times New Roman" w:hAnsi="Times New Roman" w:eastAsia="Times New Roman" w:cs="Times New Roman"/>
                      <w:color w:val="auto"/>
                      <w:spacing w:val="-4"/>
                      <w:sz w:val="21"/>
                      <w:szCs w:val="21"/>
                      <w:highlight w:val="none"/>
                      <w:lang w:eastAsia="en-US"/>
                    </w:rPr>
                    <w:t>点</w:t>
                  </w:r>
                  <w:r>
                    <w:rPr>
                      <w:rFonts w:hint="default" w:ascii="Times New Roman" w:hAnsi="Times New Roman" w:eastAsia="Times New Roman" w:cs="Times New Roman"/>
                      <w:color w:val="auto"/>
                      <w:spacing w:val="-3"/>
                      <w:sz w:val="21"/>
                      <w:szCs w:val="21"/>
                      <w:highlight w:val="none"/>
                      <w:lang w:eastAsia="en-US"/>
                    </w:rPr>
                    <w:t>位</w:t>
                  </w:r>
                  <w:r>
                    <w:rPr>
                      <w:rFonts w:hint="eastAsia" w:ascii="Times New Roman" w:hAnsi="Times New Roman" w:eastAsia="宋体" w:cs="Times New Roman"/>
                      <w:color w:val="auto"/>
                      <w:spacing w:val="-3"/>
                      <w:sz w:val="21"/>
                      <w:szCs w:val="21"/>
                      <w:highlight w:val="none"/>
                      <w:lang w:val="en-US" w:eastAsia="zh-CN"/>
                    </w:rPr>
                    <w:t>坐标</w:t>
                  </w:r>
                </w:p>
              </w:tc>
              <w:tc>
                <w:tcPr>
                  <w:tcW w:w="562" w:type="pct"/>
                  <w:tcBorders>
                    <w:tl2br w:val="nil"/>
                    <w:tr2bl w:val="nil"/>
                  </w:tcBorders>
                  <w:vAlign w:val="center"/>
                </w:tcPr>
                <w:p w14:paraId="1ED05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3"/>
                      <w:sz w:val="21"/>
                      <w:szCs w:val="21"/>
                      <w:highlight w:val="none"/>
                      <w:lang w:val="en-US" w:eastAsia="zh-CN"/>
                    </w:rPr>
                    <w:t>与本项目相对位置关系</w:t>
                  </w:r>
                </w:p>
              </w:tc>
              <w:tc>
                <w:tcPr>
                  <w:tcW w:w="745" w:type="pct"/>
                  <w:tcBorders>
                    <w:tl2br w:val="nil"/>
                    <w:tr2bl w:val="nil"/>
                  </w:tcBorders>
                  <w:vAlign w:val="center"/>
                </w:tcPr>
                <w:p w14:paraId="5DED89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8"/>
                      <w:sz w:val="21"/>
                      <w:szCs w:val="21"/>
                      <w:highlight w:val="none"/>
                      <w:lang w:eastAsia="en-US"/>
                    </w:rPr>
                    <w:t>监测</w:t>
                  </w:r>
                  <w:r>
                    <w:rPr>
                      <w:rFonts w:hint="default" w:ascii="Times New Roman" w:hAnsi="Times New Roman" w:eastAsia="宋体" w:cs="Times New Roman"/>
                      <w:color w:val="auto"/>
                      <w:spacing w:val="8"/>
                      <w:sz w:val="21"/>
                      <w:szCs w:val="21"/>
                      <w:highlight w:val="none"/>
                      <w:lang w:val="en-US" w:eastAsia="zh-CN"/>
                    </w:rPr>
                    <w:t>结果</w:t>
                  </w:r>
                  <w:r>
                    <w:rPr>
                      <w:rFonts w:hint="default" w:ascii="Times New Roman" w:hAnsi="Times New Roman" w:eastAsia="Times New Roman" w:cs="Times New Roman"/>
                      <w:color w:val="auto"/>
                      <w:sz w:val="21"/>
                      <w:szCs w:val="21"/>
                      <w:highlight w:val="none"/>
                      <w:lang w:eastAsia="en-US"/>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Times New Roman" w:cs="Times New Roman"/>
                      <w:color w:val="auto"/>
                      <w:sz w:val="21"/>
                      <w:szCs w:val="21"/>
                      <w:highlight w:val="none"/>
                      <w:lang w:eastAsia="en-US"/>
                    </w:rPr>
                    <w:t>g/m</w:t>
                  </w:r>
                  <w:r>
                    <w:rPr>
                      <w:rFonts w:hint="default" w:ascii="Times New Roman" w:hAnsi="Times New Roman" w:eastAsia="Times New Roman" w:cs="Times New Roman"/>
                      <w:color w:val="auto"/>
                      <w:sz w:val="21"/>
                      <w:szCs w:val="21"/>
                      <w:highlight w:val="none"/>
                      <w:vertAlign w:val="superscript"/>
                      <w:lang w:eastAsia="en-US"/>
                    </w:rPr>
                    <w:t>3</w:t>
                  </w:r>
                  <w:r>
                    <w:rPr>
                      <w:rFonts w:hint="default" w:ascii="Times New Roman" w:hAnsi="Times New Roman" w:eastAsia="Times New Roman" w:cs="Times New Roman"/>
                      <w:color w:val="auto"/>
                      <w:spacing w:val="-11"/>
                      <w:sz w:val="21"/>
                      <w:szCs w:val="21"/>
                      <w:highlight w:val="none"/>
                      <w:lang w:eastAsia="en-US"/>
                    </w:rPr>
                    <w:t>）</w:t>
                  </w:r>
                </w:p>
              </w:tc>
              <w:tc>
                <w:tcPr>
                  <w:tcW w:w="600" w:type="pct"/>
                  <w:tcBorders>
                    <w:tl2br w:val="nil"/>
                    <w:tr2bl w:val="nil"/>
                  </w:tcBorders>
                  <w:vAlign w:val="center"/>
                </w:tcPr>
                <w:p w14:paraId="4EDF78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2"/>
                      <w:sz w:val="21"/>
                      <w:szCs w:val="21"/>
                      <w:highlight w:val="none"/>
                      <w:lang w:eastAsia="en-US"/>
                    </w:rPr>
                    <w:t>标准值</w:t>
                  </w:r>
                  <w:r>
                    <w:rPr>
                      <w:rFonts w:hint="default" w:ascii="Times New Roman" w:hAnsi="Times New Roman" w:eastAsia="Times New Roman" w:cs="Times New Roman"/>
                      <w:color w:val="auto"/>
                      <w:sz w:val="21"/>
                      <w:szCs w:val="21"/>
                      <w:highlight w:val="none"/>
                      <w:lang w:eastAsia="en-US"/>
                    </w:rPr>
                    <w:t xml:space="preserve"> （</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Times New Roman" w:cs="Times New Roman"/>
                      <w:color w:val="auto"/>
                      <w:sz w:val="21"/>
                      <w:szCs w:val="21"/>
                      <w:highlight w:val="none"/>
                      <w:lang w:eastAsia="en-US"/>
                    </w:rPr>
                    <w:t>g/m</w:t>
                  </w:r>
                  <w:r>
                    <w:rPr>
                      <w:rFonts w:hint="default" w:ascii="Times New Roman" w:hAnsi="Times New Roman" w:eastAsia="Times New Roman" w:cs="Times New Roman"/>
                      <w:color w:val="auto"/>
                      <w:sz w:val="21"/>
                      <w:szCs w:val="21"/>
                      <w:highlight w:val="none"/>
                      <w:vertAlign w:val="superscript"/>
                      <w:lang w:eastAsia="en-US"/>
                    </w:rPr>
                    <w:t>3</w:t>
                  </w:r>
                  <w:r>
                    <w:rPr>
                      <w:rFonts w:hint="default" w:ascii="Times New Roman" w:hAnsi="Times New Roman" w:eastAsia="Times New Roman" w:cs="Times New Roman"/>
                      <w:color w:val="auto"/>
                      <w:spacing w:val="-25"/>
                      <w:sz w:val="21"/>
                      <w:szCs w:val="21"/>
                      <w:highlight w:val="none"/>
                      <w:lang w:eastAsia="en-US"/>
                    </w:rPr>
                    <w:t>）</w:t>
                  </w:r>
                </w:p>
              </w:tc>
              <w:tc>
                <w:tcPr>
                  <w:tcW w:w="442" w:type="pct"/>
                  <w:tcBorders>
                    <w:tl2br w:val="nil"/>
                    <w:tr2bl w:val="nil"/>
                  </w:tcBorders>
                  <w:vAlign w:val="center"/>
                </w:tcPr>
                <w:p w14:paraId="6DFE58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2"/>
                      <w:sz w:val="21"/>
                      <w:szCs w:val="21"/>
                      <w:highlight w:val="none"/>
                      <w:lang w:eastAsia="en-US"/>
                    </w:rPr>
                    <w:t>检出</w:t>
                  </w:r>
                  <w:r>
                    <w:rPr>
                      <w:rFonts w:hint="default" w:ascii="Times New Roman" w:hAnsi="Times New Roman" w:eastAsia="Times New Roman" w:cs="Times New Roman"/>
                      <w:color w:val="auto"/>
                      <w:spacing w:val="-1"/>
                      <w:sz w:val="21"/>
                      <w:szCs w:val="21"/>
                      <w:highlight w:val="none"/>
                      <w:lang w:eastAsia="en-US"/>
                    </w:rPr>
                    <w:t>率</w:t>
                  </w:r>
                  <w:r>
                    <w:rPr>
                      <w:rFonts w:hint="default" w:ascii="Times New Roman" w:hAnsi="Times New Roman" w:eastAsia="Times New Roman" w:cs="Times New Roman"/>
                      <w:color w:val="auto"/>
                      <w:sz w:val="21"/>
                      <w:szCs w:val="21"/>
                      <w:highlight w:val="none"/>
                      <w:lang w:eastAsia="en-US"/>
                    </w:rPr>
                    <w:t xml:space="preserve"> （%</w:t>
                  </w:r>
                  <w:r>
                    <w:rPr>
                      <w:rFonts w:hint="default" w:ascii="Times New Roman" w:hAnsi="Times New Roman" w:eastAsia="Times New Roman" w:cs="Times New Roman"/>
                      <w:color w:val="auto"/>
                      <w:spacing w:val="-13"/>
                      <w:sz w:val="21"/>
                      <w:szCs w:val="21"/>
                      <w:highlight w:val="none"/>
                      <w:lang w:eastAsia="en-US"/>
                    </w:rPr>
                    <w:t>）</w:t>
                  </w:r>
                </w:p>
              </w:tc>
              <w:tc>
                <w:tcPr>
                  <w:tcW w:w="659" w:type="pct"/>
                  <w:tcBorders>
                    <w:tl2br w:val="nil"/>
                    <w:tr2bl w:val="nil"/>
                  </w:tcBorders>
                  <w:vAlign w:val="center"/>
                </w:tcPr>
                <w:p w14:paraId="3C17F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单因子指数范围</w:t>
                  </w:r>
                </w:p>
              </w:tc>
              <w:tc>
                <w:tcPr>
                  <w:tcW w:w="409" w:type="pct"/>
                  <w:tcBorders>
                    <w:tl2br w:val="nil"/>
                    <w:tr2bl w:val="nil"/>
                  </w:tcBorders>
                  <w:vAlign w:val="center"/>
                </w:tcPr>
                <w:p w14:paraId="47909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2"/>
                      <w:sz w:val="21"/>
                      <w:szCs w:val="21"/>
                      <w:highlight w:val="none"/>
                      <w:lang w:eastAsia="en-US"/>
                    </w:rPr>
                    <w:t>超</w:t>
                  </w:r>
                  <w:r>
                    <w:rPr>
                      <w:rFonts w:hint="default" w:ascii="Times New Roman" w:hAnsi="Times New Roman" w:eastAsia="Times New Roman" w:cs="Times New Roman"/>
                      <w:color w:val="auto"/>
                      <w:spacing w:val="-1"/>
                      <w:sz w:val="21"/>
                      <w:szCs w:val="21"/>
                      <w:highlight w:val="none"/>
                      <w:lang w:eastAsia="en-US"/>
                    </w:rPr>
                    <w:t>标</w:t>
                  </w:r>
                  <w:r>
                    <w:rPr>
                      <w:rFonts w:hint="default" w:ascii="Times New Roman" w:hAnsi="Times New Roman" w:eastAsia="Times New Roman" w:cs="Times New Roman"/>
                      <w:color w:val="auto"/>
                      <w:sz w:val="21"/>
                      <w:szCs w:val="21"/>
                      <w:highlight w:val="none"/>
                      <w:lang w:eastAsia="en-US"/>
                    </w:rPr>
                    <w:t>率（%</w:t>
                  </w:r>
                  <w:r>
                    <w:rPr>
                      <w:rFonts w:hint="default" w:ascii="Times New Roman" w:hAnsi="Times New Roman" w:eastAsia="Times New Roman" w:cs="Times New Roman"/>
                      <w:color w:val="auto"/>
                      <w:spacing w:val="-13"/>
                      <w:sz w:val="21"/>
                      <w:szCs w:val="21"/>
                      <w:highlight w:val="none"/>
                      <w:lang w:eastAsia="en-US"/>
                    </w:rPr>
                    <w:t>）</w:t>
                  </w:r>
                </w:p>
              </w:tc>
              <w:tc>
                <w:tcPr>
                  <w:tcW w:w="565" w:type="pct"/>
                  <w:tcBorders>
                    <w:tl2br w:val="nil"/>
                    <w:tr2bl w:val="nil"/>
                  </w:tcBorders>
                  <w:vAlign w:val="center"/>
                </w:tcPr>
                <w:p w14:paraId="0C14EA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1"/>
                      <w:sz w:val="21"/>
                      <w:szCs w:val="21"/>
                      <w:highlight w:val="none"/>
                      <w:lang w:eastAsia="en-US"/>
                    </w:rPr>
                    <w:t>达标情况</w:t>
                  </w:r>
                </w:p>
              </w:tc>
            </w:tr>
            <w:tr w14:paraId="3FFA54CD">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15" w:hRule="atLeast"/>
              </w:trPr>
              <w:tc>
                <w:tcPr>
                  <w:tcW w:w="361" w:type="pct"/>
                  <w:vMerge w:val="restart"/>
                  <w:tcBorders>
                    <w:tl2br w:val="nil"/>
                    <w:tr2bl w:val="nil"/>
                  </w:tcBorders>
                  <w:vAlign w:val="center"/>
                </w:tcPr>
                <w:p w14:paraId="4455C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NOx</w:t>
                  </w:r>
                </w:p>
              </w:tc>
              <w:tc>
                <w:tcPr>
                  <w:tcW w:w="652" w:type="pct"/>
                  <w:tcBorders>
                    <w:tl2br w:val="nil"/>
                    <w:tr2bl w:val="nil"/>
                  </w:tcBorders>
                  <w:vAlign w:val="center"/>
                </w:tcPr>
                <w:p w14:paraId="4A550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东经：123.706929</w:t>
                  </w:r>
                </w:p>
              </w:tc>
              <w:tc>
                <w:tcPr>
                  <w:tcW w:w="562" w:type="pct"/>
                  <w:vMerge w:val="restart"/>
                  <w:tcBorders>
                    <w:tl2br w:val="nil"/>
                    <w:tr2bl w:val="nil"/>
                  </w:tcBorders>
                  <w:vAlign w:val="center"/>
                </w:tcPr>
                <w:p w14:paraId="685B2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南侧1.1km</w:t>
                  </w:r>
                </w:p>
              </w:tc>
              <w:tc>
                <w:tcPr>
                  <w:tcW w:w="745" w:type="pct"/>
                  <w:tcBorders>
                    <w:tl2br w:val="nil"/>
                    <w:tr2bl w:val="nil"/>
                  </w:tcBorders>
                  <w:vAlign w:val="center"/>
                </w:tcPr>
                <w:p w14:paraId="7A58D3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val="en-US" w:eastAsia="zh-CN"/>
                    </w:rPr>
                    <w:t>0.029-0.034</w:t>
                  </w:r>
                </w:p>
              </w:tc>
              <w:tc>
                <w:tcPr>
                  <w:tcW w:w="600" w:type="pct"/>
                  <w:vMerge w:val="restart"/>
                  <w:tcBorders>
                    <w:tl2br w:val="nil"/>
                    <w:tr2bl w:val="nil"/>
                  </w:tcBorders>
                  <w:vAlign w:val="center"/>
                </w:tcPr>
                <w:p w14:paraId="18700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c>
                <w:tcPr>
                  <w:tcW w:w="442" w:type="pct"/>
                  <w:tcBorders>
                    <w:tl2br w:val="nil"/>
                    <w:tr2bl w:val="nil"/>
                  </w:tcBorders>
                  <w:vAlign w:val="center"/>
                </w:tcPr>
                <w:p w14:paraId="18C731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659" w:type="pct"/>
                  <w:tcBorders>
                    <w:tl2br w:val="nil"/>
                    <w:tr2bl w:val="nil"/>
                  </w:tcBorders>
                  <w:vAlign w:val="center"/>
                </w:tcPr>
                <w:p w14:paraId="50F799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0.29-0.34</w:t>
                  </w:r>
                </w:p>
              </w:tc>
              <w:tc>
                <w:tcPr>
                  <w:tcW w:w="409" w:type="pct"/>
                  <w:tcBorders>
                    <w:tl2br w:val="nil"/>
                    <w:tr2bl w:val="nil"/>
                  </w:tcBorders>
                  <w:vAlign w:val="center"/>
                </w:tcPr>
                <w:p w14:paraId="67FF6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65" w:type="pct"/>
                  <w:vMerge w:val="restart"/>
                  <w:tcBorders>
                    <w:tl2br w:val="nil"/>
                    <w:tr2bl w:val="nil"/>
                  </w:tcBorders>
                  <w:vAlign w:val="center"/>
                </w:tcPr>
                <w:p w14:paraId="4CD66D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r>
                    <w:rPr>
                      <w:rFonts w:hint="default" w:ascii="Times New Roman" w:hAnsi="Times New Roman" w:eastAsia="Times New Roman" w:cs="Times New Roman"/>
                      <w:color w:val="auto"/>
                      <w:spacing w:val="-2"/>
                      <w:sz w:val="21"/>
                      <w:szCs w:val="21"/>
                      <w:highlight w:val="none"/>
                      <w:lang w:eastAsia="en-US"/>
                    </w:rPr>
                    <w:t>达</w:t>
                  </w:r>
                  <w:r>
                    <w:rPr>
                      <w:rFonts w:hint="default" w:ascii="Times New Roman" w:hAnsi="Times New Roman" w:eastAsia="Times New Roman" w:cs="Times New Roman"/>
                      <w:color w:val="auto"/>
                      <w:spacing w:val="-1"/>
                      <w:sz w:val="21"/>
                      <w:szCs w:val="21"/>
                      <w:highlight w:val="none"/>
                      <w:lang w:eastAsia="en-US"/>
                    </w:rPr>
                    <w:t>标</w:t>
                  </w:r>
                </w:p>
              </w:tc>
            </w:tr>
            <w:tr w14:paraId="66828CDB">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15" w:hRule="atLeast"/>
              </w:trPr>
              <w:tc>
                <w:tcPr>
                  <w:tcW w:w="361" w:type="pct"/>
                  <w:vMerge w:val="continue"/>
                  <w:tcBorders>
                    <w:tl2br w:val="nil"/>
                    <w:tr2bl w:val="nil"/>
                  </w:tcBorders>
                  <w:vAlign w:val="center"/>
                </w:tcPr>
                <w:p w14:paraId="312B18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p>
              </w:tc>
              <w:tc>
                <w:tcPr>
                  <w:tcW w:w="652" w:type="pct"/>
                  <w:tcBorders>
                    <w:tl2br w:val="nil"/>
                    <w:tr2bl w:val="nil"/>
                  </w:tcBorders>
                  <w:vAlign w:val="center"/>
                </w:tcPr>
                <w:p w14:paraId="4C3F3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1"/>
                      <w:sz w:val="21"/>
                      <w:szCs w:val="21"/>
                      <w:highlight w:val="none"/>
                      <w:lang w:val="en-US" w:eastAsia="zh-CN"/>
                    </w:rPr>
                  </w:pPr>
                  <w:r>
                    <w:rPr>
                      <w:rFonts w:hint="eastAsia" w:ascii="Times New Roman" w:hAnsi="Times New Roman" w:eastAsia="宋体" w:cs="Times New Roman"/>
                      <w:color w:val="auto"/>
                      <w:spacing w:val="-1"/>
                      <w:sz w:val="21"/>
                      <w:szCs w:val="21"/>
                      <w:highlight w:val="none"/>
                      <w:lang w:val="en-US" w:eastAsia="zh-CN"/>
                    </w:rPr>
                    <w:t>北纬：41.4633610</w:t>
                  </w:r>
                </w:p>
              </w:tc>
              <w:tc>
                <w:tcPr>
                  <w:tcW w:w="562" w:type="pct"/>
                  <w:vMerge w:val="continue"/>
                  <w:tcBorders>
                    <w:tl2br w:val="nil"/>
                    <w:tr2bl w:val="nil"/>
                  </w:tcBorders>
                  <w:vAlign w:val="center"/>
                </w:tcPr>
                <w:p w14:paraId="5B26B1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pacing w:val="-1"/>
                      <w:sz w:val="21"/>
                      <w:szCs w:val="21"/>
                      <w:highlight w:val="none"/>
                      <w:lang w:eastAsia="en-US"/>
                    </w:rPr>
                  </w:pPr>
                </w:p>
              </w:tc>
              <w:tc>
                <w:tcPr>
                  <w:tcW w:w="745" w:type="pct"/>
                  <w:tcBorders>
                    <w:tl2br w:val="nil"/>
                    <w:tr2bl w:val="nil"/>
                  </w:tcBorders>
                  <w:vAlign w:val="center"/>
                </w:tcPr>
                <w:p w14:paraId="1034E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val="en-US" w:eastAsia="zh-CN"/>
                    </w:rPr>
                    <w:t>0.026-0.031</w:t>
                  </w:r>
                </w:p>
              </w:tc>
              <w:tc>
                <w:tcPr>
                  <w:tcW w:w="600" w:type="pct"/>
                  <w:vMerge w:val="continue"/>
                  <w:tcBorders>
                    <w:tl2br w:val="nil"/>
                    <w:tr2bl w:val="nil"/>
                  </w:tcBorders>
                  <w:vAlign w:val="center"/>
                </w:tcPr>
                <w:p w14:paraId="2A593C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p>
              </w:tc>
              <w:tc>
                <w:tcPr>
                  <w:tcW w:w="442" w:type="pct"/>
                  <w:tcBorders>
                    <w:tl2br w:val="nil"/>
                    <w:tr2bl w:val="nil"/>
                  </w:tcBorders>
                  <w:vAlign w:val="center"/>
                </w:tcPr>
                <w:p w14:paraId="01EFF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659" w:type="pct"/>
                  <w:tcBorders>
                    <w:tl2br w:val="nil"/>
                    <w:tr2bl w:val="nil"/>
                  </w:tcBorders>
                  <w:vAlign w:val="center"/>
                </w:tcPr>
                <w:p w14:paraId="5CA03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0.26-0.31</w:t>
                  </w:r>
                </w:p>
              </w:tc>
              <w:tc>
                <w:tcPr>
                  <w:tcW w:w="409" w:type="pct"/>
                  <w:tcBorders>
                    <w:tl2br w:val="nil"/>
                    <w:tr2bl w:val="nil"/>
                  </w:tcBorders>
                  <w:vAlign w:val="center"/>
                </w:tcPr>
                <w:p w14:paraId="691923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65" w:type="pct"/>
                  <w:vMerge w:val="continue"/>
                  <w:tcBorders>
                    <w:tl2br w:val="nil"/>
                    <w:tr2bl w:val="nil"/>
                  </w:tcBorders>
                  <w:vAlign w:val="center"/>
                </w:tcPr>
                <w:p w14:paraId="277055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Times New Roman" w:cs="Times New Roman"/>
                      <w:color w:val="auto"/>
                      <w:sz w:val="21"/>
                      <w:szCs w:val="21"/>
                      <w:highlight w:val="none"/>
                      <w:lang w:eastAsia="en-US"/>
                    </w:rPr>
                  </w:pPr>
                </w:p>
              </w:tc>
            </w:tr>
          </w:tbl>
          <w:p w14:paraId="508A2945">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96" w:firstLineChars="200"/>
              <w:textAlignment w:val="auto"/>
              <w:rPr>
                <w:rFonts w:hint="eastAsia"/>
                <w:color w:val="auto"/>
                <w:highlight w:val="none"/>
                <w:lang w:eastAsia="zh-CN"/>
              </w:rPr>
            </w:pPr>
            <w:r>
              <w:rPr>
                <w:rFonts w:hint="eastAsia"/>
                <w:bCs/>
                <w:color w:val="auto"/>
                <w:spacing w:val="4"/>
                <w:kern w:val="0"/>
                <w:sz w:val="24"/>
                <w:highlight w:val="none"/>
              </w:rPr>
              <w:t>监测结果表明：评价区域内颗粒物满足</w:t>
            </w:r>
            <w:r>
              <w:rPr>
                <w:bCs/>
                <w:color w:val="auto"/>
                <w:spacing w:val="4"/>
                <w:kern w:val="0"/>
                <w:sz w:val="24"/>
                <w:highlight w:val="none"/>
              </w:rPr>
              <w:t>《环境空气质量标准（GB3095-20</w:t>
            </w:r>
            <w:r>
              <w:rPr>
                <w:rFonts w:hint="eastAsia" w:eastAsia="宋体"/>
                <w:bCs/>
                <w:color w:val="auto"/>
                <w:spacing w:val="4"/>
                <w:kern w:val="0"/>
                <w:sz w:val="24"/>
                <w:highlight w:val="none"/>
                <w:lang w:val="en-US" w:eastAsia="zh-CN"/>
              </w:rPr>
              <w:t>12</w:t>
            </w:r>
            <w:r>
              <w:rPr>
                <w:bCs/>
                <w:color w:val="auto"/>
                <w:spacing w:val="4"/>
                <w:kern w:val="0"/>
                <w:sz w:val="24"/>
                <w:highlight w:val="none"/>
              </w:rPr>
              <w:t>）》</w:t>
            </w:r>
            <w:r>
              <w:rPr>
                <w:rFonts w:hint="eastAsia" w:eastAsia="宋体"/>
                <w:bCs/>
                <w:color w:val="auto"/>
                <w:spacing w:val="4"/>
                <w:kern w:val="0"/>
                <w:sz w:val="24"/>
                <w:highlight w:val="none"/>
                <w:lang w:val="en-US" w:eastAsia="zh-CN"/>
              </w:rPr>
              <w:t>（含2018修改单）</w:t>
            </w:r>
            <w:r>
              <w:rPr>
                <w:rFonts w:hint="eastAsia"/>
                <w:bCs/>
                <w:color w:val="auto"/>
                <w:spacing w:val="4"/>
                <w:kern w:val="0"/>
                <w:sz w:val="24"/>
                <w:highlight w:val="none"/>
              </w:rPr>
              <w:t>中二级浓度限值要求</w:t>
            </w:r>
            <w:r>
              <w:rPr>
                <w:rFonts w:hint="eastAsia"/>
                <w:bCs/>
                <w:color w:val="auto"/>
                <w:spacing w:val="4"/>
                <w:kern w:val="0"/>
                <w:sz w:val="24"/>
                <w:highlight w:val="none"/>
                <w:lang w:eastAsia="zh-CN"/>
              </w:rPr>
              <w:t>，</w:t>
            </w:r>
            <w:r>
              <w:rPr>
                <w:rFonts w:hint="default" w:ascii="Times New Roman" w:hAnsi="Times New Roman" w:eastAsia="宋体" w:cs="Times New Roman"/>
                <w:color w:val="auto"/>
                <w:kern w:val="2"/>
                <w:sz w:val="24"/>
                <w:szCs w:val="24"/>
                <w:highlight w:val="none"/>
                <w:lang w:val="en-US" w:eastAsia="zh-CN" w:bidi="ar"/>
              </w:rPr>
              <w:t>说明针对本项目排放的大气特征污染因子，所在区域尚有一定的环境容量</w:t>
            </w:r>
            <w:r>
              <w:rPr>
                <w:rFonts w:hint="eastAsia"/>
                <w:bCs/>
                <w:color w:val="auto"/>
                <w:spacing w:val="4"/>
                <w:kern w:val="0"/>
                <w:sz w:val="24"/>
                <w:highlight w:val="none"/>
              </w:rPr>
              <w:t>。</w:t>
            </w:r>
          </w:p>
          <w:p w14:paraId="4BC72CF7">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firstLine="482" w:firstLineChars="200"/>
              <w:jc w:val="both"/>
              <w:textAlignment w:val="auto"/>
              <w:rPr>
                <w:rFonts w:hint="eastAsia"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2地表水环境质量现状</w:t>
            </w:r>
          </w:p>
          <w:p w14:paraId="3F4496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0"/>
                <w:sz w:val="24"/>
                <w:highlight w:val="none"/>
                <w:lang w:val="en-US" w:eastAsia="zh-CN"/>
              </w:rPr>
              <w:t>本项目无废水排放。距本项目最近地表水体为</w:t>
            </w:r>
            <w:r>
              <w:rPr>
                <w:rFonts w:hint="eastAsia" w:cs="Times New Roman"/>
                <w:color w:val="auto"/>
                <w:kern w:val="0"/>
                <w:sz w:val="24"/>
                <w:highlight w:val="none"/>
                <w:lang w:val="en-US" w:eastAsia="zh-CN"/>
              </w:rPr>
              <w:t>北沙河</w:t>
            </w:r>
            <w:r>
              <w:rPr>
                <w:rFonts w:hint="eastAsia" w:ascii="Times New Roman" w:hAnsi="Times New Roman" w:eastAsia="宋体" w:cs="Times New Roman"/>
                <w:color w:val="auto"/>
                <w:kern w:val="0"/>
                <w:sz w:val="24"/>
                <w:highlight w:val="none"/>
                <w:lang w:val="en-US" w:eastAsia="zh-CN"/>
              </w:rPr>
              <w:t>，</w:t>
            </w:r>
            <w:bookmarkStart w:id="3" w:name="OLE_LINK77"/>
            <w:r>
              <w:rPr>
                <w:rFonts w:hint="eastAsia" w:ascii="Times New Roman" w:hAnsi="Times New Roman" w:eastAsia="宋体" w:cs="Times New Roman"/>
                <w:color w:val="auto"/>
                <w:kern w:val="0"/>
                <w:sz w:val="24"/>
                <w:highlight w:val="none"/>
                <w:lang w:val="en-US" w:eastAsia="zh-CN"/>
              </w:rPr>
              <w:t>位于厂区东侧</w:t>
            </w:r>
            <w:r>
              <w:rPr>
                <w:rFonts w:hint="eastAsia" w:cs="Times New Roman"/>
                <w:color w:val="auto"/>
                <w:kern w:val="0"/>
                <w:sz w:val="24"/>
                <w:highlight w:val="none"/>
                <w:lang w:val="en-US" w:eastAsia="zh-CN"/>
              </w:rPr>
              <w:t>1k</w:t>
            </w:r>
            <w:r>
              <w:rPr>
                <w:rFonts w:hint="eastAsia" w:ascii="Times New Roman" w:hAnsi="Times New Roman" w:eastAsia="宋体" w:cs="Times New Roman"/>
                <w:color w:val="auto"/>
                <w:kern w:val="0"/>
                <w:sz w:val="24"/>
                <w:highlight w:val="none"/>
                <w:lang w:val="en-US" w:eastAsia="zh-CN"/>
              </w:rPr>
              <w:t>m，</w:t>
            </w:r>
            <w:bookmarkEnd w:id="3"/>
            <w:r>
              <w:rPr>
                <w:rFonts w:hint="default" w:ascii="Times New Roman" w:hAnsi="Times New Roman" w:eastAsia="宋体" w:cs="Times New Roman"/>
                <w:color w:val="auto"/>
                <w:sz w:val="24"/>
                <w:szCs w:val="24"/>
                <w:highlight w:val="none"/>
                <w:lang w:val="en-US" w:eastAsia="zh-CN"/>
              </w:rPr>
              <w:t>本项目地表水环境质量引用《本溪市生态环境质量报告书（202</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年度）》中</w:t>
            </w:r>
            <w:r>
              <w:rPr>
                <w:rFonts w:hint="eastAsia" w:cs="Times New Roman"/>
                <w:color w:val="auto"/>
                <w:sz w:val="24"/>
                <w:szCs w:val="24"/>
                <w:highlight w:val="none"/>
                <w:lang w:val="en-US" w:eastAsia="zh-CN"/>
              </w:rPr>
              <w:t>北沙河姚千户桥断面</w:t>
            </w:r>
            <w:r>
              <w:rPr>
                <w:rFonts w:hint="default" w:ascii="Times New Roman" w:hAnsi="Times New Roman" w:eastAsia="宋体" w:cs="Times New Roman"/>
                <w:color w:val="auto"/>
                <w:sz w:val="24"/>
                <w:szCs w:val="24"/>
                <w:highlight w:val="none"/>
                <w:lang w:val="en-US" w:eastAsia="zh-CN"/>
              </w:rPr>
              <w:t>水质监测结论，</w:t>
            </w:r>
            <w:r>
              <w:rPr>
                <w:rFonts w:hint="eastAsia" w:ascii="Times New Roman" w:hAnsi="Times New Roman" w:eastAsia="宋体" w:cs="Times New Roman"/>
                <w:color w:val="auto"/>
                <w:sz w:val="24"/>
                <w:szCs w:val="24"/>
                <w:highlight w:val="none"/>
                <w:lang w:val="en-US" w:eastAsia="zh-CN"/>
              </w:rPr>
              <w:t>该</w:t>
            </w:r>
            <w:r>
              <w:rPr>
                <w:rFonts w:hint="default" w:ascii="Times New Roman" w:hAnsi="Times New Roman" w:eastAsia="宋体" w:cs="Times New Roman"/>
                <w:color w:val="auto"/>
                <w:sz w:val="24"/>
                <w:szCs w:val="24"/>
                <w:highlight w:val="none"/>
                <w:lang w:val="en-US" w:eastAsia="zh-CN"/>
              </w:rPr>
              <w:t>断面主要监测指标年均浓度如下表所示</w:t>
            </w:r>
            <w:r>
              <w:rPr>
                <w:rFonts w:hint="eastAsia" w:ascii="Times New Roman" w:hAnsi="Times New Roman" w:eastAsia="宋体" w:cs="Times New Roman"/>
                <w:color w:val="auto"/>
                <w:sz w:val="24"/>
                <w:szCs w:val="24"/>
                <w:highlight w:val="none"/>
                <w:lang w:val="en-US" w:eastAsia="zh-CN"/>
              </w:rPr>
              <w:t>。</w:t>
            </w:r>
          </w:p>
          <w:p w14:paraId="6A68101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right="0" w:rightChars="0"/>
              <w:jc w:val="center"/>
              <w:textAlignment w:val="auto"/>
              <w:outlineLvl w:val="9"/>
              <w:rPr>
                <w:rFonts w:hint="default" w:ascii="黑体" w:hAnsi="黑体" w:eastAsia="黑体" w:cs="黑体"/>
                <w:color w:val="auto"/>
                <w:sz w:val="21"/>
                <w:szCs w:val="21"/>
                <w:highlight w:val="none"/>
                <w:lang w:val="en-US" w:eastAsia="zh-CN"/>
              </w:rPr>
            </w:pPr>
            <w:r>
              <w:rPr>
                <w:rFonts w:hint="default" w:ascii="黑体" w:hAnsi="黑体" w:eastAsia="黑体" w:cs="黑体"/>
                <w:color w:val="auto"/>
                <w:sz w:val="21"/>
                <w:szCs w:val="21"/>
                <w:highlight w:val="none"/>
                <w:lang w:val="en-US" w:eastAsia="zh-CN"/>
              </w:rPr>
              <w:t>表</w:t>
            </w:r>
            <w:r>
              <w:rPr>
                <w:rFonts w:hint="eastAsia" w:ascii="黑体" w:hAnsi="黑体" w:eastAsia="黑体" w:cs="黑体"/>
                <w:color w:val="auto"/>
                <w:sz w:val="21"/>
                <w:szCs w:val="21"/>
                <w:highlight w:val="none"/>
                <w:lang w:val="en-US" w:eastAsia="zh-CN"/>
              </w:rPr>
              <w:t>3-3北沙河姚千户桥断面主要监测指标年均浓度</w:t>
            </w:r>
          </w:p>
          <w:tbl>
            <w:tblPr>
              <w:tblStyle w:val="2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489"/>
              <w:gridCol w:w="1143"/>
              <w:gridCol w:w="1277"/>
              <w:gridCol w:w="1387"/>
              <w:gridCol w:w="1278"/>
            </w:tblGrid>
            <w:tr w14:paraId="1A127D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54" w:type="pct"/>
                  <w:tcBorders>
                    <w:tl2br w:val="nil"/>
                    <w:tr2bl w:val="nil"/>
                  </w:tcBorders>
                  <w:noWrap w:val="0"/>
                  <w:vAlign w:val="center"/>
                </w:tcPr>
                <w:p w14:paraId="192496DE">
                  <w:pPr>
                    <w:pStyle w:val="2"/>
                    <w:adjustRightInd w:val="0"/>
                    <w:snapToGrid w:val="0"/>
                    <w:spacing w:beforeLines="0" w:after="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项目</w:t>
                  </w:r>
                </w:p>
              </w:tc>
              <w:tc>
                <w:tcPr>
                  <w:tcW w:w="961" w:type="pct"/>
                  <w:tcBorders>
                    <w:tl2br w:val="nil"/>
                    <w:tr2bl w:val="nil"/>
                  </w:tcBorders>
                  <w:noWrap w:val="0"/>
                  <w:vAlign w:val="center"/>
                </w:tcPr>
                <w:p w14:paraId="07F5C834">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高锰酸盐指数</w:t>
                  </w:r>
                  <w:r>
                    <w:rPr>
                      <w:rFonts w:hint="default" w:ascii="Times New Roman" w:hAnsi="Times New Roman" w:eastAsia="宋体" w:cs="Times New Roman"/>
                      <w:b w:val="0"/>
                      <w:bCs w:val="0"/>
                      <w:color w:val="auto"/>
                      <w:kern w:val="2"/>
                      <w:sz w:val="21"/>
                      <w:szCs w:val="21"/>
                      <w:highlight w:val="none"/>
                      <w:lang w:val="en-US" w:eastAsia="zh-CN" w:bidi="ar"/>
                    </w:rPr>
                    <w:t>（mg/L）</w:t>
                  </w:r>
                </w:p>
              </w:tc>
              <w:tc>
                <w:tcPr>
                  <w:tcW w:w="738" w:type="pct"/>
                  <w:tcBorders>
                    <w:tl2br w:val="nil"/>
                    <w:tr2bl w:val="nil"/>
                  </w:tcBorders>
                  <w:noWrap w:val="0"/>
                  <w:vAlign w:val="center"/>
                </w:tcPr>
                <w:p w14:paraId="215077A4">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BOD</w:t>
                  </w:r>
                  <w:r>
                    <w:rPr>
                      <w:rFonts w:hint="default" w:ascii="Times New Roman" w:hAnsi="Times New Roman" w:eastAsia="宋体" w:cs="Times New Roman"/>
                      <w:b w:val="0"/>
                      <w:bCs w:val="0"/>
                      <w:color w:val="auto"/>
                      <w:sz w:val="21"/>
                      <w:szCs w:val="21"/>
                      <w:highlight w:val="none"/>
                      <w:vertAlign w:val="subscript"/>
                      <w:lang w:val="en-US" w:eastAsia="zh-CN"/>
                    </w:rPr>
                    <w:t>5</w:t>
                  </w:r>
                  <w:r>
                    <w:rPr>
                      <w:rFonts w:hint="default" w:ascii="Times New Roman" w:hAnsi="Times New Roman" w:eastAsia="宋体" w:cs="Times New Roman"/>
                      <w:b w:val="0"/>
                      <w:bCs w:val="0"/>
                      <w:color w:val="auto"/>
                      <w:kern w:val="2"/>
                      <w:sz w:val="21"/>
                      <w:szCs w:val="21"/>
                      <w:highlight w:val="none"/>
                      <w:lang w:val="en-US" w:eastAsia="zh-CN" w:bidi="ar"/>
                    </w:rPr>
                    <w:t>（mg/L）</w:t>
                  </w:r>
                </w:p>
              </w:tc>
              <w:tc>
                <w:tcPr>
                  <w:tcW w:w="824" w:type="pct"/>
                  <w:tcBorders>
                    <w:tl2br w:val="nil"/>
                    <w:tr2bl w:val="nil"/>
                  </w:tcBorders>
                  <w:noWrap w:val="0"/>
                  <w:vAlign w:val="center"/>
                </w:tcPr>
                <w:p w14:paraId="0DD1F1B5">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氨氮</w:t>
                  </w:r>
                  <w:r>
                    <w:rPr>
                      <w:rFonts w:hint="default" w:ascii="Times New Roman" w:hAnsi="Times New Roman" w:eastAsia="宋体" w:cs="Times New Roman"/>
                      <w:b w:val="0"/>
                      <w:bCs w:val="0"/>
                      <w:color w:val="auto"/>
                      <w:kern w:val="2"/>
                      <w:sz w:val="21"/>
                      <w:szCs w:val="21"/>
                      <w:highlight w:val="none"/>
                      <w:lang w:val="en-US" w:eastAsia="zh-CN" w:bidi="ar"/>
                    </w:rPr>
                    <w:t>（mg/L）</w:t>
                  </w:r>
                </w:p>
              </w:tc>
              <w:tc>
                <w:tcPr>
                  <w:tcW w:w="895" w:type="pct"/>
                  <w:tcBorders>
                    <w:tl2br w:val="nil"/>
                    <w:tr2bl w:val="nil"/>
                  </w:tcBorders>
                  <w:noWrap w:val="0"/>
                  <w:vAlign w:val="center"/>
                </w:tcPr>
                <w:p w14:paraId="52B0369E">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COD</w:t>
                  </w:r>
                  <w:r>
                    <w:rPr>
                      <w:rFonts w:hint="default" w:ascii="Times New Roman" w:hAnsi="Times New Roman" w:eastAsia="宋体" w:cs="Times New Roman"/>
                      <w:b w:val="0"/>
                      <w:bCs w:val="0"/>
                      <w:color w:val="auto"/>
                      <w:kern w:val="2"/>
                      <w:sz w:val="21"/>
                      <w:szCs w:val="21"/>
                      <w:highlight w:val="none"/>
                      <w:lang w:val="en-US" w:eastAsia="zh-CN" w:bidi="ar"/>
                    </w:rPr>
                    <w:t>（mg/L）</w:t>
                  </w:r>
                </w:p>
              </w:tc>
              <w:tc>
                <w:tcPr>
                  <w:tcW w:w="825" w:type="pct"/>
                  <w:tcBorders>
                    <w:tl2br w:val="nil"/>
                    <w:tr2bl w:val="nil"/>
                  </w:tcBorders>
                  <w:noWrap w:val="0"/>
                  <w:vAlign w:val="center"/>
                </w:tcPr>
                <w:p w14:paraId="685369E3">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TP</w:t>
                  </w:r>
                  <w:r>
                    <w:rPr>
                      <w:rFonts w:hint="default" w:ascii="Times New Roman" w:hAnsi="Times New Roman" w:eastAsia="宋体" w:cs="Times New Roman"/>
                      <w:b w:val="0"/>
                      <w:bCs w:val="0"/>
                      <w:color w:val="auto"/>
                      <w:kern w:val="2"/>
                      <w:sz w:val="21"/>
                      <w:szCs w:val="21"/>
                      <w:highlight w:val="none"/>
                      <w:lang w:val="en-US" w:eastAsia="zh-CN" w:bidi="ar"/>
                    </w:rPr>
                    <w:t>（mg/L）</w:t>
                  </w:r>
                </w:p>
              </w:tc>
            </w:tr>
            <w:tr w14:paraId="51B86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tcBorders>
                    <w:tl2br w:val="nil"/>
                    <w:tr2bl w:val="nil"/>
                  </w:tcBorders>
                  <w:noWrap w:val="0"/>
                  <w:vAlign w:val="center"/>
                </w:tcPr>
                <w:p w14:paraId="13D7757F">
                  <w:pPr>
                    <w:pStyle w:val="2"/>
                    <w:adjustRightInd w:val="0"/>
                    <w:snapToGrid w:val="0"/>
                    <w:spacing w:beforeLines="0" w:after="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202</w:t>
                  </w:r>
                  <w:r>
                    <w:rPr>
                      <w:rFonts w:hint="default" w:ascii="Times New Roman" w:hAnsi="Times New Roman" w:cs="Times New Roman"/>
                      <w:b w:val="0"/>
                      <w:bCs w:val="0"/>
                      <w:color w:val="auto"/>
                      <w:sz w:val="21"/>
                      <w:szCs w:val="21"/>
                      <w:highlight w:val="none"/>
                      <w:lang w:val="en-US" w:eastAsia="zh-CN"/>
                    </w:rPr>
                    <w:t>4</w:t>
                  </w:r>
                  <w:r>
                    <w:rPr>
                      <w:rFonts w:hint="default" w:ascii="Times New Roman" w:hAnsi="Times New Roman" w:cs="Times New Roman"/>
                      <w:b w:val="0"/>
                      <w:bCs w:val="0"/>
                      <w:color w:val="auto"/>
                      <w:sz w:val="21"/>
                      <w:szCs w:val="21"/>
                      <w:highlight w:val="none"/>
                    </w:rPr>
                    <w:t>年</w:t>
                  </w:r>
                </w:p>
              </w:tc>
              <w:tc>
                <w:tcPr>
                  <w:tcW w:w="961" w:type="pct"/>
                  <w:tcBorders>
                    <w:tl2br w:val="nil"/>
                    <w:tr2bl w:val="nil"/>
                  </w:tcBorders>
                  <w:noWrap w:val="0"/>
                  <w:vAlign w:val="center"/>
                </w:tcPr>
                <w:p w14:paraId="680654D8">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color w:val="auto"/>
                      <w:kern w:val="0"/>
                      <w:sz w:val="21"/>
                      <w:szCs w:val="21"/>
                      <w:highlight w:val="none"/>
                      <w:lang w:val="en-US" w:eastAsia="zh-CN"/>
                    </w:rPr>
                    <w:t>3.1</w:t>
                  </w:r>
                </w:p>
              </w:tc>
              <w:tc>
                <w:tcPr>
                  <w:tcW w:w="738" w:type="pct"/>
                  <w:tcBorders>
                    <w:tl2br w:val="nil"/>
                    <w:tr2bl w:val="nil"/>
                  </w:tcBorders>
                  <w:noWrap w:val="0"/>
                  <w:vAlign w:val="center"/>
                </w:tcPr>
                <w:p w14:paraId="7DB26544">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color w:val="auto"/>
                      <w:sz w:val="21"/>
                      <w:szCs w:val="21"/>
                      <w:highlight w:val="none"/>
                      <w:lang w:val="en-US" w:eastAsia="zh-CN"/>
                    </w:rPr>
                    <w:t>1.9</w:t>
                  </w:r>
                </w:p>
              </w:tc>
              <w:tc>
                <w:tcPr>
                  <w:tcW w:w="824" w:type="pct"/>
                  <w:tcBorders>
                    <w:tl2br w:val="nil"/>
                    <w:tr2bl w:val="nil"/>
                  </w:tcBorders>
                  <w:noWrap w:val="0"/>
                  <w:vAlign w:val="center"/>
                </w:tcPr>
                <w:p w14:paraId="07524BB1">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color w:val="auto"/>
                      <w:sz w:val="21"/>
                      <w:szCs w:val="21"/>
                      <w:highlight w:val="none"/>
                      <w:lang w:val="en-US" w:eastAsia="zh-CN"/>
                    </w:rPr>
                    <w:t>0.36</w:t>
                  </w:r>
                </w:p>
              </w:tc>
              <w:tc>
                <w:tcPr>
                  <w:tcW w:w="895" w:type="pct"/>
                  <w:tcBorders>
                    <w:tl2br w:val="nil"/>
                    <w:tr2bl w:val="nil"/>
                  </w:tcBorders>
                  <w:noWrap w:val="0"/>
                  <w:vAlign w:val="center"/>
                </w:tcPr>
                <w:p w14:paraId="62CB5317">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color w:val="auto"/>
                      <w:sz w:val="21"/>
                      <w:szCs w:val="21"/>
                      <w:highlight w:val="none"/>
                      <w:lang w:val="en-US" w:eastAsia="zh-CN"/>
                    </w:rPr>
                    <w:t>15.2</w:t>
                  </w:r>
                </w:p>
              </w:tc>
              <w:tc>
                <w:tcPr>
                  <w:tcW w:w="825" w:type="pct"/>
                  <w:tcBorders>
                    <w:tl2br w:val="nil"/>
                    <w:tr2bl w:val="nil"/>
                  </w:tcBorders>
                  <w:noWrap w:val="0"/>
                  <w:vAlign w:val="center"/>
                </w:tcPr>
                <w:p w14:paraId="2D2392DE">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color w:val="auto"/>
                      <w:sz w:val="21"/>
                      <w:szCs w:val="21"/>
                      <w:highlight w:val="none"/>
                      <w:lang w:val="en-US" w:eastAsia="zh-CN"/>
                    </w:rPr>
                    <w:t>0.14</w:t>
                  </w:r>
                </w:p>
              </w:tc>
            </w:tr>
            <w:tr w14:paraId="2CC54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tcBorders>
                    <w:tl2br w:val="nil"/>
                    <w:tr2bl w:val="nil"/>
                  </w:tcBorders>
                  <w:noWrap w:val="0"/>
                  <w:vAlign w:val="center"/>
                </w:tcPr>
                <w:p w14:paraId="56AE19D1">
                  <w:pPr>
                    <w:pStyle w:val="2"/>
                    <w:adjustRightInd w:val="0"/>
                    <w:snapToGrid w:val="0"/>
                    <w:spacing w:beforeLines="0" w:after="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标准</w:t>
                  </w:r>
                </w:p>
              </w:tc>
              <w:tc>
                <w:tcPr>
                  <w:tcW w:w="961" w:type="pct"/>
                  <w:tcBorders>
                    <w:tl2br w:val="nil"/>
                    <w:tr2bl w:val="nil"/>
                  </w:tcBorders>
                  <w:noWrap w:val="0"/>
                  <w:vAlign w:val="center"/>
                </w:tcPr>
                <w:p w14:paraId="57663385">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6</w:t>
                  </w:r>
                </w:p>
              </w:tc>
              <w:tc>
                <w:tcPr>
                  <w:tcW w:w="738" w:type="pct"/>
                  <w:tcBorders>
                    <w:tl2br w:val="nil"/>
                    <w:tr2bl w:val="nil"/>
                  </w:tcBorders>
                  <w:noWrap w:val="0"/>
                  <w:vAlign w:val="center"/>
                </w:tcPr>
                <w:p w14:paraId="5090D9C8">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4</w:t>
                  </w:r>
                </w:p>
              </w:tc>
              <w:tc>
                <w:tcPr>
                  <w:tcW w:w="824" w:type="pct"/>
                  <w:tcBorders>
                    <w:tl2br w:val="nil"/>
                    <w:tr2bl w:val="nil"/>
                  </w:tcBorders>
                  <w:noWrap w:val="0"/>
                  <w:vAlign w:val="center"/>
                </w:tcPr>
                <w:p w14:paraId="0AF1FA4D">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1.0</w:t>
                  </w:r>
                </w:p>
              </w:tc>
              <w:tc>
                <w:tcPr>
                  <w:tcW w:w="895" w:type="pct"/>
                  <w:tcBorders>
                    <w:tl2br w:val="nil"/>
                    <w:tr2bl w:val="nil"/>
                  </w:tcBorders>
                  <w:noWrap w:val="0"/>
                  <w:vAlign w:val="center"/>
                </w:tcPr>
                <w:p w14:paraId="7D4F3024">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20</w:t>
                  </w:r>
                </w:p>
              </w:tc>
              <w:tc>
                <w:tcPr>
                  <w:tcW w:w="825" w:type="pct"/>
                  <w:tcBorders>
                    <w:tl2br w:val="nil"/>
                    <w:tr2bl w:val="nil"/>
                  </w:tcBorders>
                  <w:noWrap w:val="0"/>
                  <w:vAlign w:val="center"/>
                </w:tcPr>
                <w:p w14:paraId="367F8A8B">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0.2</w:t>
                  </w:r>
                </w:p>
              </w:tc>
            </w:tr>
            <w:tr w14:paraId="4999FF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54" w:type="pct"/>
                  <w:tcBorders>
                    <w:tl2br w:val="nil"/>
                    <w:tr2bl w:val="nil"/>
                  </w:tcBorders>
                  <w:noWrap w:val="0"/>
                  <w:vAlign w:val="center"/>
                </w:tcPr>
                <w:p w14:paraId="69A9831F">
                  <w:pPr>
                    <w:pStyle w:val="2"/>
                    <w:adjustRightInd w:val="0"/>
                    <w:snapToGrid w:val="0"/>
                    <w:spacing w:beforeLines="0" w:after="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是否达标</w:t>
                  </w:r>
                </w:p>
              </w:tc>
              <w:tc>
                <w:tcPr>
                  <w:tcW w:w="961" w:type="pct"/>
                  <w:tcBorders>
                    <w:tl2br w:val="nil"/>
                    <w:tr2bl w:val="nil"/>
                  </w:tcBorders>
                  <w:noWrap w:val="0"/>
                  <w:vAlign w:val="center"/>
                </w:tcPr>
                <w:p w14:paraId="0F3620BD">
                  <w:pPr>
                    <w:pStyle w:val="2"/>
                    <w:adjustRightInd w:val="0"/>
                    <w:snapToGrid w:val="0"/>
                    <w:spacing w:beforeLines="0" w:after="0" w:afterLines="0" w:line="240" w:lineRule="auto"/>
                    <w:ind w:left="0" w:leftChars="0"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达标</w:t>
                  </w:r>
                </w:p>
              </w:tc>
              <w:tc>
                <w:tcPr>
                  <w:tcW w:w="738" w:type="pct"/>
                  <w:tcBorders>
                    <w:tl2br w:val="nil"/>
                    <w:tr2bl w:val="nil"/>
                  </w:tcBorders>
                  <w:noWrap w:val="0"/>
                  <w:vAlign w:val="center"/>
                </w:tcPr>
                <w:p w14:paraId="178B869F">
                  <w:pPr>
                    <w:adjustRightInd w:val="0"/>
                    <w:snapToGrid w:val="0"/>
                    <w:spacing w:beforeLines="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达标</w:t>
                  </w:r>
                </w:p>
              </w:tc>
              <w:tc>
                <w:tcPr>
                  <w:tcW w:w="824" w:type="pct"/>
                  <w:tcBorders>
                    <w:tl2br w:val="nil"/>
                    <w:tr2bl w:val="nil"/>
                  </w:tcBorders>
                  <w:noWrap w:val="0"/>
                  <w:vAlign w:val="center"/>
                </w:tcPr>
                <w:p w14:paraId="2B21A2E6">
                  <w:pPr>
                    <w:adjustRightInd w:val="0"/>
                    <w:snapToGrid w:val="0"/>
                    <w:spacing w:beforeLines="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达标</w:t>
                  </w:r>
                </w:p>
              </w:tc>
              <w:tc>
                <w:tcPr>
                  <w:tcW w:w="895" w:type="pct"/>
                  <w:tcBorders>
                    <w:tl2br w:val="nil"/>
                    <w:tr2bl w:val="nil"/>
                  </w:tcBorders>
                  <w:noWrap w:val="0"/>
                  <w:vAlign w:val="center"/>
                </w:tcPr>
                <w:p w14:paraId="076127BB">
                  <w:pPr>
                    <w:adjustRightInd w:val="0"/>
                    <w:snapToGrid w:val="0"/>
                    <w:spacing w:beforeLines="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达标</w:t>
                  </w:r>
                </w:p>
              </w:tc>
              <w:tc>
                <w:tcPr>
                  <w:tcW w:w="825" w:type="pct"/>
                  <w:tcBorders>
                    <w:tl2br w:val="nil"/>
                    <w:tr2bl w:val="nil"/>
                  </w:tcBorders>
                  <w:noWrap w:val="0"/>
                  <w:vAlign w:val="center"/>
                </w:tcPr>
                <w:p w14:paraId="1B60558A">
                  <w:pPr>
                    <w:adjustRightInd w:val="0"/>
                    <w:snapToGrid w:val="0"/>
                    <w:spacing w:beforeLines="0" w:afterLines="0" w:line="240" w:lineRule="auto"/>
                    <w:ind w:left="0" w:lef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eastAsia="zh-CN"/>
                    </w:rPr>
                    <w:t>达标</w:t>
                  </w:r>
                </w:p>
              </w:tc>
            </w:tr>
          </w:tbl>
          <w:p w14:paraId="49A91C8F">
            <w:pPr>
              <w:pStyle w:val="21"/>
              <w:keepNext w:val="0"/>
              <w:keepLines w:val="0"/>
              <w:pageBreakBefore w:val="0"/>
              <w:widowControl w:val="0"/>
              <w:kinsoku/>
              <w:wordWrap/>
              <w:overflowPunct/>
              <w:topLinePunct w:val="0"/>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由上表可知</w:t>
            </w:r>
            <w:r>
              <w:rPr>
                <w:rFonts w:hint="eastAsia" w:cs="Times New Roman"/>
                <w:color w:val="auto"/>
                <w:sz w:val="24"/>
                <w:szCs w:val="24"/>
                <w:highlight w:val="none"/>
                <w:lang w:val="en-US" w:eastAsia="zh-CN"/>
              </w:rPr>
              <w:t>北沙河姚千户桥断面</w:t>
            </w:r>
            <w:r>
              <w:rPr>
                <w:rFonts w:hint="eastAsia" w:ascii="Times New Roman" w:hAnsi="Times New Roman" w:eastAsia="宋体" w:cs="Times New Roman"/>
                <w:color w:val="auto"/>
                <w:sz w:val="24"/>
                <w:szCs w:val="24"/>
                <w:highlight w:val="none"/>
                <w:lang w:val="en-US" w:eastAsia="zh-CN"/>
              </w:rPr>
              <w:t>水质</w:t>
            </w:r>
            <w:r>
              <w:rPr>
                <w:rFonts w:hint="eastAsia" w:ascii="Times New Roman" w:hAnsi="Times New Roman" w:eastAsia="宋体" w:cs="Times New Roman"/>
                <w:color w:val="auto"/>
                <w:kern w:val="2"/>
                <w:sz w:val="24"/>
                <w:szCs w:val="24"/>
                <w:highlight w:val="none"/>
                <w:lang w:val="en-US" w:eastAsia="zh-CN" w:bidi="ar-SA"/>
              </w:rPr>
              <w:t>可以满足地表水环境质量Ⅲ类标准要求，水质状况较好。</w:t>
            </w:r>
          </w:p>
          <w:p w14:paraId="6B33562D">
            <w:pPr>
              <w:pStyle w:val="22"/>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eastAsia="宋体" w:cs="Times New Roman"/>
                <w:b/>
                <w:color w:val="auto"/>
                <w:kern w:val="2"/>
                <w:sz w:val="24"/>
                <w:szCs w:val="24"/>
                <w:highlight w:val="none"/>
              </w:rPr>
            </w:pPr>
            <w:r>
              <w:rPr>
                <w:rFonts w:hint="default" w:ascii="Times New Roman" w:hAnsi="Times New Roman" w:cs="Times New Roman"/>
                <w:b/>
                <w:color w:val="auto"/>
                <w:kern w:val="2"/>
                <w:sz w:val="24"/>
                <w:szCs w:val="24"/>
                <w:highlight w:val="none"/>
                <w:lang w:val="en-US" w:eastAsia="zh-CN" w:bidi="ar"/>
              </w:rPr>
              <w:t>3</w:t>
            </w:r>
            <w:r>
              <w:rPr>
                <w:rFonts w:hint="default" w:ascii="Times New Roman" w:hAnsi="Times New Roman" w:eastAsia="宋体" w:cs="Times New Roman"/>
                <w:b/>
                <w:color w:val="auto"/>
                <w:kern w:val="2"/>
                <w:sz w:val="24"/>
                <w:szCs w:val="24"/>
                <w:highlight w:val="none"/>
                <w:lang w:val="en-US" w:eastAsia="zh-CN" w:bidi="ar"/>
              </w:rPr>
              <w:t>声环境质量现状</w:t>
            </w:r>
          </w:p>
          <w:p w14:paraId="630CCD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kern w:val="2"/>
                <w:sz w:val="24"/>
                <w:szCs w:val="24"/>
                <w:highlight w:val="none"/>
                <w:lang w:val="en-US" w:eastAsia="zh-CN" w:bidi="ar"/>
              </w:rPr>
            </w:pPr>
            <w:r>
              <w:rPr>
                <w:rFonts w:hint="default" w:ascii="Times New Roman" w:hAnsi="Times New Roman" w:cs="Times New Roman"/>
                <w:color w:val="auto"/>
                <w:kern w:val="2"/>
                <w:sz w:val="24"/>
                <w:szCs w:val="24"/>
                <w:highlight w:val="none"/>
                <w:lang w:val="en-US" w:eastAsia="zh-CN" w:bidi="ar"/>
              </w:rPr>
              <w:t>本项目厂界外周边50m范围内无声环境保护目标（距离本项目最近声环境敏感目标为项目西</w:t>
            </w:r>
            <w:r>
              <w:rPr>
                <w:rFonts w:hint="eastAsia" w:cs="Times New Roman"/>
                <w:color w:val="auto"/>
                <w:kern w:val="2"/>
                <w:sz w:val="24"/>
                <w:szCs w:val="24"/>
                <w:highlight w:val="none"/>
                <w:lang w:val="en-US" w:eastAsia="zh-CN" w:bidi="ar"/>
              </w:rPr>
              <w:t>北</w:t>
            </w:r>
            <w:r>
              <w:rPr>
                <w:rFonts w:hint="default" w:ascii="Times New Roman" w:hAnsi="Times New Roman" w:cs="Times New Roman"/>
                <w:color w:val="auto"/>
                <w:kern w:val="2"/>
                <w:sz w:val="24"/>
                <w:szCs w:val="24"/>
                <w:highlight w:val="none"/>
                <w:lang w:val="en-US" w:eastAsia="zh-CN" w:bidi="ar"/>
              </w:rPr>
              <w:t>侧约</w:t>
            </w:r>
            <w:r>
              <w:rPr>
                <w:rFonts w:hint="eastAsia" w:ascii="Times New Roman" w:hAnsi="Times New Roman" w:cs="Times New Roman"/>
                <w:color w:val="auto"/>
                <w:kern w:val="2"/>
                <w:sz w:val="24"/>
                <w:szCs w:val="24"/>
                <w:highlight w:val="none"/>
                <w:lang w:val="en-US" w:eastAsia="zh-CN" w:bidi="ar"/>
              </w:rPr>
              <w:t>49</w:t>
            </w:r>
            <w:r>
              <w:rPr>
                <w:rFonts w:hint="default" w:ascii="Times New Roman" w:hAnsi="Times New Roman" w:cs="Times New Roman"/>
                <w:color w:val="auto"/>
                <w:kern w:val="2"/>
                <w:sz w:val="24"/>
                <w:szCs w:val="24"/>
                <w:highlight w:val="none"/>
                <w:lang w:val="en-US" w:eastAsia="zh-CN" w:bidi="ar"/>
              </w:rPr>
              <w:t>0m</w:t>
            </w:r>
            <w:r>
              <w:rPr>
                <w:rFonts w:hint="eastAsia" w:ascii="Times New Roman" w:hAnsi="Times New Roman" w:cs="Times New Roman"/>
                <w:color w:val="auto"/>
                <w:kern w:val="2"/>
                <w:sz w:val="24"/>
                <w:szCs w:val="24"/>
                <w:highlight w:val="none"/>
                <w:lang w:val="en-US" w:eastAsia="zh-CN" w:bidi="ar"/>
              </w:rPr>
              <w:t>辽宁中医药大学</w:t>
            </w:r>
            <w:r>
              <w:rPr>
                <w:rFonts w:hint="default" w:ascii="Times New Roman" w:hAnsi="Times New Roman" w:cs="Times New Roman"/>
                <w:color w:val="auto"/>
                <w:kern w:val="2"/>
                <w:sz w:val="24"/>
                <w:szCs w:val="24"/>
                <w:highlight w:val="none"/>
                <w:lang w:val="en-US" w:eastAsia="zh-CN" w:bidi="ar"/>
              </w:rPr>
              <w:t>），故不进行声环境质量现状监测</w:t>
            </w:r>
            <w:r>
              <w:rPr>
                <w:rFonts w:hint="default" w:ascii="Times New Roman" w:hAnsi="Times New Roman" w:eastAsia="宋体" w:cs="Times New Roman"/>
                <w:color w:val="auto"/>
                <w:sz w:val="24"/>
                <w:szCs w:val="24"/>
                <w:highlight w:val="none"/>
                <w:lang w:val="en-US" w:eastAsia="zh-CN"/>
              </w:rPr>
              <w:t>。</w:t>
            </w:r>
          </w:p>
          <w:p w14:paraId="622B262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right="0" w:firstLine="482" w:firstLineChars="200"/>
              <w:jc w:val="both"/>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4地下水、土壤环境</w:t>
            </w:r>
          </w:p>
          <w:p w14:paraId="3F9DE63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eastAsia" w:ascii="黑体" w:hAnsi="黑体" w:eastAsia="黑体"/>
                <w:snapToGrid w:val="0"/>
                <w:color w:val="auto"/>
                <w:sz w:val="30"/>
                <w:szCs w:val="30"/>
                <w:highlight w:val="none"/>
                <w:vertAlign w:val="baseline"/>
              </w:rPr>
            </w:pPr>
            <w:r>
              <w:rPr>
                <w:rFonts w:hint="default" w:ascii="宋体" w:hAnsi="宋体" w:eastAsia="宋体" w:cs="宋体"/>
                <w:b w:val="0"/>
                <w:bCs/>
                <w:color w:val="auto"/>
                <w:kern w:val="2"/>
                <w:sz w:val="24"/>
                <w:szCs w:val="24"/>
                <w:highlight w:val="none"/>
                <w:lang w:val="en-US" w:eastAsia="zh-CN" w:bidi="ar-SA"/>
              </w:rPr>
              <w:t>本项目</w:t>
            </w:r>
            <w:r>
              <w:rPr>
                <w:rFonts w:hint="eastAsia" w:ascii="宋体" w:hAnsi="宋体" w:eastAsia="宋体" w:cs="宋体"/>
                <w:b w:val="0"/>
                <w:bCs/>
                <w:color w:val="auto"/>
                <w:kern w:val="2"/>
                <w:sz w:val="24"/>
                <w:szCs w:val="24"/>
                <w:highlight w:val="none"/>
                <w:lang w:val="en-US" w:eastAsia="zh-CN" w:bidi="ar-SA"/>
              </w:rPr>
              <w:t>运行过程中无生产废水排放</w:t>
            </w:r>
            <w:r>
              <w:rPr>
                <w:rFonts w:hint="default" w:ascii="宋体" w:hAnsi="宋体" w:eastAsia="宋体" w:cs="宋体"/>
                <w:b w:val="0"/>
                <w:bCs/>
                <w:color w:val="auto"/>
                <w:kern w:val="2"/>
                <w:sz w:val="24"/>
                <w:szCs w:val="24"/>
                <w:highlight w:val="none"/>
                <w:lang w:val="en-US" w:eastAsia="zh-CN" w:bidi="ar-SA"/>
              </w:rPr>
              <w:t>；大气主要污染物为</w:t>
            </w:r>
            <w:r>
              <w:rPr>
                <w:rFonts w:hint="eastAsia" w:ascii="宋体" w:hAnsi="宋体" w:eastAsia="宋体" w:cs="宋体"/>
                <w:b w:val="0"/>
                <w:bCs/>
                <w:color w:val="auto"/>
                <w:kern w:val="2"/>
                <w:sz w:val="24"/>
                <w:szCs w:val="24"/>
                <w:highlight w:val="none"/>
                <w:lang w:val="en-US" w:eastAsia="zh-CN" w:bidi="ar-SA"/>
              </w:rPr>
              <w:t>氮氧化物</w:t>
            </w:r>
            <w:r>
              <w:rPr>
                <w:rFonts w:hint="default" w:ascii="宋体" w:hAnsi="宋体" w:eastAsia="宋体" w:cs="宋体"/>
                <w:b w:val="0"/>
                <w:bCs/>
                <w:color w:val="auto"/>
                <w:kern w:val="2"/>
                <w:sz w:val="24"/>
                <w:szCs w:val="24"/>
                <w:highlight w:val="none"/>
                <w:lang w:val="en-US" w:eastAsia="zh-CN" w:bidi="ar-SA"/>
              </w:rPr>
              <w:t>，采取有效治理措施，本项目全厂地面硬化，不存在地下水及土壤环境污染源及途径污染源及污染途径。根据《建设项目环境影响报告表编制技术指南（污染影响类）（试行）》</w:t>
            </w:r>
            <w:r>
              <w:rPr>
                <w:rFonts w:hint="eastAsia" w:ascii="宋体" w:hAnsi="宋体" w:eastAsia="宋体" w:cs="宋体"/>
                <w:b w:val="0"/>
                <w:bCs/>
                <w:color w:val="auto"/>
                <w:kern w:val="2"/>
                <w:sz w:val="24"/>
                <w:szCs w:val="24"/>
                <w:highlight w:val="none"/>
                <w:lang w:val="en-US" w:eastAsia="zh-CN" w:bidi="ar-SA"/>
              </w:rPr>
              <w:t>，</w:t>
            </w:r>
            <w:r>
              <w:rPr>
                <w:rFonts w:hint="default" w:ascii="宋体" w:hAnsi="宋体" w:eastAsia="宋体" w:cs="宋体"/>
                <w:b w:val="0"/>
                <w:bCs/>
                <w:color w:val="auto"/>
                <w:kern w:val="2"/>
                <w:sz w:val="24"/>
                <w:szCs w:val="24"/>
                <w:highlight w:val="none"/>
                <w:lang w:val="en-US" w:eastAsia="zh-CN" w:bidi="ar-SA"/>
              </w:rPr>
              <w:t>本项目可不开展</w:t>
            </w:r>
            <w:r>
              <w:rPr>
                <w:rFonts w:hint="eastAsia" w:ascii="宋体" w:hAnsi="宋体" w:eastAsia="宋体" w:cs="宋体"/>
                <w:b w:val="0"/>
                <w:bCs/>
                <w:color w:val="auto"/>
                <w:kern w:val="2"/>
                <w:sz w:val="24"/>
                <w:szCs w:val="24"/>
                <w:highlight w:val="none"/>
                <w:lang w:val="en-US" w:eastAsia="zh-CN" w:bidi="ar-SA"/>
              </w:rPr>
              <w:t>地下水、土壤</w:t>
            </w:r>
            <w:r>
              <w:rPr>
                <w:rFonts w:hint="default" w:ascii="宋体" w:hAnsi="宋体" w:eastAsia="宋体" w:cs="宋体"/>
                <w:b w:val="0"/>
                <w:bCs/>
                <w:color w:val="auto"/>
                <w:kern w:val="2"/>
                <w:sz w:val="24"/>
                <w:szCs w:val="24"/>
                <w:highlight w:val="none"/>
                <w:lang w:val="en-US" w:eastAsia="zh-CN" w:bidi="ar-SA"/>
              </w:rPr>
              <w:t>环境质量现状调查。</w:t>
            </w:r>
          </w:p>
        </w:tc>
      </w:tr>
      <w:tr w14:paraId="6B0A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60" w:type="dxa"/>
            <w:vAlign w:val="center"/>
          </w:tcPr>
          <w:p w14:paraId="015450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环境</w:t>
            </w:r>
          </w:p>
          <w:p w14:paraId="104929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保护目标</w:t>
            </w:r>
          </w:p>
        </w:tc>
        <w:tc>
          <w:tcPr>
            <w:tcW w:w="7962" w:type="dxa"/>
          </w:tcPr>
          <w:p w14:paraId="13984367">
            <w:pPr>
              <w:pStyle w:val="8"/>
              <w:bidi w:val="0"/>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3.2主要环境保护目标</w:t>
            </w:r>
          </w:p>
          <w:p w14:paraId="3DA2A59C">
            <w:pPr>
              <w:keepNext w:val="0"/>
              <w:keepLines w:val="0"/>
              <w:widowControl w:val="0"/>
              <w:suppressLineNumbers w:val="0"/>
              <w:autoSpaceDE w:val="0"/>
              <w:autoSpaceDN/>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0000FF"/>
                <w:sz w:val="24"/>
                <w:szCs w:val="24"/>
                <w:highlight w:val="none"/>
                <w:u w:val="none"/>
                <w:lang w:val="en-US" w:eastAsia="zh-CN"/>
              </w:rPr>
              <w:t>本</w:t>
            </w:r>
            <w:r>
              <w:rPr>
                <w:rFonts w:hint="default" w:ascii="Times New Roman" w:hAnsi="Times New Roman" w:eastAsia="宋体" w:cs="Times New Roman"/>
                <w:color w:val="0000FF"/>
                <w:sz w:val="24"/>
                <w:szCs w:val="24"/>
                <w:highlight w:val="none"/>
                <w:u w:val="none"/>
                <w:lang w:val="en-US" w:eastAsia="zh-CN"/>
              </w:rPr>
              <w:t>项目位于</w:t>
            </w:r>
            <w:r>
              <w:rPr>
                <w:rFonts w:hint="eastAsia" w:ascii="Times New Roman" w:hAnsi="Times New Roman" w:eastAsia="宋体" w:cs="Times New Roman"/>
                <w:color w:val="0000FF"/>
                <w:sz w:val="24"/>
                <w:szCs w:val="24"/>
                <w:highlight w:val="none"/>
                <w:u w:val="none"/>
                <w:lang w:val="en-US" w:eastAsia="zh-CN"/>
              </w:rPr>
              <w:t>高新技术产业开发区石桥子平台一街6号，项目周边主要分布高翔制冷设备公司、迈迪生物公司、雅美陶瓷公司等工业企业，</w:t>
            </w:r>
            <w:r>
              <w:rPr>
                <w:rFonts w:hint="default" w:ascii="Times New Roman" w:hAnsi="Times New Roman" w:eastAsia="宋体" w:cs="Times New Roman"/>
                <w:color w:val="0000FF"/>
                <w:sz w:val="24"/>
                <w:szCs w:val="24"/>
                <w:highlight w:val="none"/>
                <w:u w:val="none"/>
                <w:lang w:val="en-US" w:eastAsia="zh-CN"/>
              </w:rPr>
              <w:t>受该项目影响的主要保护目标</w:t>
            </w:r>
            <w:r>
              <w:rPr>
                <w:rFonts w:hint="eastAsia" w:ascii="Times New Roman" w:hAnsi="Times New Roman" w:eastAsia="宋体" w:cs="Times New Roman"/>
                <w:color w:val="0000FF"/>
                <w:sz w:val="24"/>
                <w:szCs w:val="24"/>
                <w:highlight w:val="none"/>
                <w:u w:val="none"/>
                <w:lang w:val="en-US" w:eastAsia="zh-CN"/>
              </w:rPr>
              <w:t>主要为西南侧辽宁中医药大学部分区域，</w:t>
            </w:r>
            <w:r>
              <w:rPr>
                <w:rFonts w:hint="eastAsia" w:ascii="Times New Roman" w:hAnsi="Times New Roman" w:eastAsia="宋体" w:cs="Times New Roman"/>
                <w:color w:val="auto"/>
                <w:sz w:val="24"/>
                <w:szCs w:val="24"/>
                <w:highlight w:val="none"/>
                <w:u w:val="none"/>
                <w:lang w:val="en-US" w:eastAsia="zh-CN"/>
              </w:rPr>
              <w:t>本项目与环境保护目标相对位置关系</w:t>
            </w:r>
            <w:r>
              <w:rPr>
                <w:rFonts w:hint="default" w:ascii="Times New Roman" w:hAnsi="Times New Roman" w:eastAsia="宋体" w:cs="Times New Roman"/>
                <w:color w:val="auto"/>
                <w:sz w:val="24"/>
                <w:szCs w:val="24"/>
                <w:highlight w:val="none"/>
                <w:u w:val="none"/>
                <w:lang w:val="en-US" w:eastAsia="zh-CN"/>
              </w:rPr>
              <w:t>见下表。</w:t>
            </w:r>
            <w:r>
              <w:rPr>
                <w:rFonts w:hint="eastAsia" w:ascii="Times New Roman" w:hAnsi="Times New Roman" w:eastAsia="宋体" w:cs="Times New Roman"/>
                <w:color w:val="auto"/>
                <w:sz w:val="24"/>
                <w:szCs w:val="24"/>
                <w:highlight w:val="none"/>
                <w:u w:val="none"/>
                <w:lang w:val="en-US" w:eastAsia="zh-CN"/>
              </w:rPr>
              <w:t>本项目环境保护目标分布情况见附图3。</w:t>
            </w:r>
          </w:p>
          <w:p w14:paraId="1F76EA8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right="0" w:firstLine="2520" w:firstLineChars="1200"/>
              <w:jc w:val="both"/>
              <w:textAlignment w:val="auto"/>
              <w:rPr>
                <w:rFonts w:hint="default" w:ascii="Times New Roman" w:hAnsi="Times New Roman" w:eastAsia="宋体" w:cs="Times New Roman"/>
                <w:b/>
                <w:color w:val="auto"/>
                <w:kern w:val="2"/>
                <w:sz w:val="21"/>
                <w:szCs w:val="21"/>
                <w:highlight w:val="none"/>
                <w:lang w:val="en-US" w:eastAsia="zh-CN" w:bidi="ar"/>
              </w:rPr>
            </w:pPr>
            <w:r>
              <w:rPr>
                <w:rStyle w:val="39"/>
                <w:rFonts w:hint="eastAsia" w:ascii="黑体" w:hAnsi="黑体" w:eastAsia="黑体" w:cs="黑体"/>
                <w:color w:val="auto"/>
                <w:highlight w:val="none"/>
                <w:lang w:val="en-US" w:eastAsia="zh-CN"/>
              </w:rPr>
              <w:t>表3-4环境保护目标和对象</w:t>
            </w:r>
            <w:r>
              <w:rPr>
                <w:rFonts w:hint="default" w:ascii="Times New Roman" w:hAnsi="Times New Roman" w:eastAsia="宋体" w:cs="Times New Roman"/>
                <w:b/>
                <w:color w:val="auto"/>
                <w:kern w:val="2"/>
                <w:sz w:val="21"/>
                <w:szCs w:val="21"/>
                <w:highlight w:val="none"/>
                <w:lang w:val="en-US" w:eastAsia="zh-CN" w:bidi="ar"/>
              </w:rPr>
              <w:t xml:space="preserve"> </w:t>
            </w:r>
          </w:p>
          <w:tbl>
            <w:tblPr>
              <w:tblStyle w:val="25"/>
              <w:tblW w:w="78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69"/>
              <w:gridCol w:w="736"/>
              <w:gridCol w:w="741"/>
              <w:gridCol w:w="715"/>
              <w:gridCol w:w="641"/>
              <w:gridCol w:w="928"/>
              <w:gridCol w:w="713"/>
              <w:gridCol w:w="1828"/>
            </w:tblGrid>
            <w:tr w14:paraId="279C7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09" w:type="pct"/>
                  <w:vMerge w:val="restart"/>
                  <w:tcBorders>
                    <w:tl2br w:val="nil"/>
                    <w:tr2bl w:val="nil"/>
                  </w:tcBorders>
                  <w:noWrap w:val="0"/>
                  <w:vAlign w:val="center"/>
                </w:tcPr>
                <w:p w14:paraId="7327AE2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环境要素</w:t>
                  </w:r>
                </w:p>
              </w:tc>
              <w:tc>
                <w:tcPr>
                  <w:tcW w:w="556" w:type="pct"/>
                  <w:vMerge w:val="restart"/>
                  <w:tcBorders>
                    <w:right w:val="single" w:color="000000" w:sz="4" w:space="0"/>
                    <w:tl2br w:val="nil"/>
                    <w:tr2bl w:val="nil"/>
                  </w:tcBorders>
                  <w:noWrap w:val="0"/>
                  <w:vAlign w:val="center"/>
                </w:tcPr>
                <w:p w14:paraId="6177E79B">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保护目标</w:t>
                  </w:r>
                </w:p>
              </w:tc>
              <w:tc>
                <w:tcPr>
                  <w:tcW w:w="945" w:type="pct"/>
                  <w:gridSpan w:val="2"/>
                  <w:tcBorders>
                    <w:left w:val="single" w:color="000000" w:sz="4" w:space="0"/>
                    <w:bottom w:val="single" w:color="000000" w:sz="4" w:space="0"/>
                    <w:tl2br w:val="nil"/>
                    <w:tr2bl w:val="nil"/>
                  </w:tcBorders>
                  <w:noWrap w:val="0"/>
                  <w:vAlign w:val="center"/>
                </w:tcPr>
                <w:p w14:paraId="0DF7B9F8">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坐标</w:t>
                  </w:r>
                </w:p>
              </w:tc>
              <w:tc>
                <w:tcPr>
                  <w:tcW w:w="457" w:type="pct"/>
                  <w:vMerge w:val="restart"/>
                  <w:tcBorders>
                    <w:tl2br w:val="nil"/>
                    <w:tr2bl w:val="nil"/>
                  </w:tcBorders>
                  <w:noWrap w:val="0"/>
                  <w:vAlign w:val="center"/>
                </w:tcPr>
                <w:p w14:paraId="351BFD9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相对位置</w:t>
                  </w:r>
                </w:p>
              </w:tc>
              <w:tc>
                <w:tcPr>
                  <w:tcW w:w="410" w:type="pct"/>
                  <w:vMerge w:val="restart"/>
                  <w:tcBorders>
                    <w:tl2br w:val="nil"/>
                    <w:tr2bl w:val="nil"/>
                  </w:tcBorders>
                  <w:noWrap w:val="0"/>
                  <w:vAlign w:val="center"/>
                </w:tcPr>
                <w:p w14:paraId="60FD30EE">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相对距离m</w:t>
                  </w:r>
                </w:p>
              </w:tc>
              <w:tc>
                <w:tcPr>
                  <w:tcW w:w="594" w:type="pct"/>
                  <w:vMerge w:val="restart"/>
                  <w:tcBorders>
                    <w:right w:val="single" w:color="000000" w:sz="4" w:space="0"/>
                    <w:tl2br w:val="nil"/>
                    <w:tr2bl w:val="nil"/>
                  </w:tcBorders>
                  <w:noWrap w:val="0"/>
                  <w:vAlign w:val="center"/>
                </w:tcPr>
                <w:p w14:paraId="1E327909">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保护</w:t>
                  </w:r>
                  <w:r>
                    <w:rPr>
                      <w:rFonts w:hint="eastAsia" w:cs="Times New Roman"/>
                      <w:b w:val="0"/>
                      <w:bCs w:val="0"/>
                      <w:color w:val="auto"/>
                      <w:sz w:val="21"/>
                      <w:szCs w:val="21"/>
                      <w:highlight w:val="none"/>
                      <w:vertAlign w:val="baseline"/>
                      <w:lang w:val="en-US" w:eastAsia="zh-CN"/>
                    </w:rPr>
                    <w:t>对象</w:t>
                  </w:r>
                  <w:r>
                    <w:rPr>
                      <w:rFonts w:hint="default" w:ascii="Times New Roman" w:hAnsi="Times New Roman" w:eastAsia="宋体" w:cs="Times New Roman"/>
                      <w:b w:val="0"/>
                      <w:bCs w:val="0"/>
                      <w:color w:val="auto"/>
                      <w:sz w:val="21"/>
                      <w:szCs w:val="21"/>
                      <w:highlight w:val="none"/>
                      <w:vertAlign w:val="baseline"/>
                      <w:lang w:val="en-US" w:eastAsia="zh-CN"/>
                    </w:rPr>
                    <w:t>及规模</w:t>
                  </w:r>
                </w:p>
              </w:tc>
              <w:tc>
                <w:tcPr>
                  <w:tcW w:w="456" w:type="pct"/>
                  <w:vMerge w:val="restart"/>
                  <w:tcBorders>
                    <w:left w:val="single" w:color="000000" w:sz="4" w:space="0"/>
                    <w:tl2br w:val="nil"/>
                    <w:tr2bl w:val="nil"/>
                  </w:tcBorders>
                  <w:noWrap w:val="0"/>
                  <w:vAlign w:val="center"/>
                </w:tcPr>
                <w:p w14:paraId="43F1BED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保护内容</w:t>
                  </w:r>
                </w:p>
              </w:tc>
              <w:tc>
                <w:tcPr>
                  <w:tcW w:w="1170" w:type="pct"/>
                  <w:vMerge w:val="restart"/>
                  <w:tcBorders>
                    <w:tl2br w:val="nil"/>
                    <w:tr2bl w:val="nil"/>
                  </w:tcBorders>
                  <w:noWrap w:val="0"/>
                  <w:vAlign w:val="center"/>
                </w:tcPr>
                <w:p w14:paraId="74AFD78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保护要求</w:t>
                  </w:r>
                </w:p>
              </w:tc>
            </w:tr>
            <w:tr w14:paraId="31F86F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09" w:type="pct"/>
                  <w:vMerge w:val="continue"/>
                  <w:tcBorders>
                    <w:tl2br w:val="nil"/>
                    <w:tr2bl w:val="nil"/>
                  </w:tcBorders>
                  <w:noWrap w:val="0"/>
                  <w:vAlign w:val="center"/>
                </w:tcPr>
                <w:p w14:paraId="002B5091">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56" w:type="pct"/>
                  <w:vMerge w:val="continue"/>
                  <w:tcBorders>
                    <w:right w:val="single" w:color="000000" w:sz="4" w:space="0"/>
                    <w:tl2br w:val="nil"/>
                    <w:tr2bl w:val="nil"/>
                  </w:tcBorders>
                  <w:noWrap w:val="0"/>
                  <w:vAlign w:val="center"/>
                </w:tcPr>
                <w:p w14:paraId="33BCA2C9">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471" w:type="pct"/>
                  <w:tcBorders>
                    <w:top w:val="single" w:color="000000" w:sz="4" w:space="0"/>
                    <w:left w:val="single" w:color="000000" w:sz="4" w:space="0"/>
                    <w:right w:val="single" w:color="000000" w:sz="4" w:space="0"/>
                    <w:tl2br w:val="nil"/>
                    <w:tr2bl w:val="nil"/>
                  </w:tcBorders>
                  <w:noWrap w:val="0"/>
                  <w:vAlign w:val="center"/>
                </w:tcPr>
                <w:p w14:paraId="4008BD8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经度</w:t>
                  </w:r>
                </w:p>
              </w:tc>
              <w:tc>
                <w:tcPr>
                  <w:tcW w:w="474" w:type="pct"/>
                  <w:tcBorders>
                    <w:top w:val="single" w:color="000000" w:sz="4" w:space="0"/>
                    <w:left w:val="single" w:color="000000" w:sz="4" w:space="0"/>
                    <w:tl2br w:val="nil"/>
                    <w:tr2bl w:val="nil"/>
                  </w:tcBorders>
                  <w:noWrap w:val="0"/>
                  <w:vAlign w:val="center"/>
                </w:tcPr>
                <w:p w14:paraId="44BDCE83">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纬度</w:t>
                  </w:r>
                </w:p>
              </w:tc>
              <w:tc>
                <w:tcPr>
                  <w:tcW w:w="457" w:type="pct"/>
                  <w:vMerge w:val="continue"/>
                  <w:tcBorders>
                    <w:tl2br w:val="nil"/>
                    <w:tr2bl w:val="nil"/>
                  </w:tcBorders>
                  <w:noWrap w:val="0"/>
                  <w:vAlign w:val="center"/>
                </w:tcPr>
                <w:p w14:paraId="53E9B348">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410" w:type="pct"/>
                  <w:vMerge w:val="continue"/>
                  <w:tcBorders>
                    <w:tl2br w:val="nil"/>
                    <w:tr2bl w:val="nil"/>
                  </w:tcBorders>
                  <w:noWrap w:val="0"/>
                  <w:vAlign w:val="center"/>
                </w:tcPr>
                <w:p w14:paraId="177F35DE">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94" w:type="pct"/>
                  <w:vMerge w:val="continue"/>
                  <w:tcBorders>
                    <w:right w:val="single" w:color="000000" w:sz="4" w:space="0"/>
                    <w:tl2br w:val="nil"/>
                    <w:tr2bl w:val="nil"/>
                  </w:tcBorders>
                  <w:noWrap w:val="0"/>
                  <w:vAlign w:val="center"/>
                </w:tcPr>
                <w:p w14:paraId="35977CEF">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456" w:type="pct"/>
                  <w:vMerge w:val="continue"/>
                  <w:tcBorders>
                    <w:left w:val="single" w:color="000000" w:sz="4" w:space="0"/>
                    <w:tl2br w:val="nil"/>
                    <w:tr2bl w:val="nil"/>
                  </w:tcBorders>
                  <w:noWrap w:val="0"/>
                  <w:vAlign w:val="center"/>
                </w:tcPr>
                <w:p w14:paraId="4369075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cs="Times New Roman"/>
                      <w:b w:val="0"/>
                      <w:bCs w:val="0"/>
                      <w:color w:val="auto"/>
                      <w:sz w:val="21"/>
                      <w:szCs w:val="21"/>
                      <w:highlight w:val="none"/>
                      <w:vertAlign w:val="baseline"/>
                      <w:lang w:val="en-US" w:eastAsia="zh-CN"/>
                    </w:rPr>
                  </w:pPr>
                </w:p>
              </w:tc>
              <w:tc>
                <w:tcPr>
                  <w:tcW w:w="1170" w:type="pct"/>
                  <w:vMerge w:val="continue"/>
                  <w:tcBorders>
                    <w:tl2br w:val="nil"/>
                    <w:tr2bl w:val="nil"/>
                  </w:tcBorders>
                  <w:noWrap w:val="0"/>
                  <w:vAlign w:val="center"/>
                </w:tcPr>
                <w:p w14:paraId="38CA373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3EBB5E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09" w:type="pct"/>
                  <w:tcBorders>
                    <w:tl2br w:val="nil"/>
                    <w:tr2bl w:val="nil"/>
                  </w:tcBorders>
                  <w:noWrap w:val="0"/>
                  <w:vAlign w:val="center"/>
                </w:tcPr>
                <w:p w14:paraId="547501CB">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环境空气</w:t>
                  </w:r>
                </w:p>
              </w:tc>
              <w:tc>
                <w:tcPr>
                  <w:tcW w:w="556" w:type="pct"/>
                  <w:tcBorders>
                    <w:right w:val="single" w:color="000000" w:sz="4" w:space="0"/>
                    <w:tl2br w:val="nil"/>
                    <w:tr2bl w:val="nil"/>
                  </w:tcBorders>
                  <w:noWrap w:val="0"/>
                  <w:vAlign w:val="center"/>
                </w:tcPr>
                <w:p w14:paraId="2FFE7C5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辽宁中医药大学</w:t>
                  </w:r>
                </w:p>
              </w:tc>
              <w:tc>
                <w:tcPr>
                  <w:tcW w:w="471" w:type="pct"/>
                  <w:tcBorders>
                    <w:left w:val="single" w:color="000000" w:sz="4" w:space="0"/>
                    <w:right w:val="single" w:color="000000" w:sz="4" w:space="0"/>
                    <w:tl2br w:val="nil"/>
                    <w:tr2bl w:val="nil"/>
                  </w:tcBorders>
                  <w:noWrap w:val="0"/>
                  <w:vAlign w:val="center"/>
                </w:tcPr>
                <w:p w14:paraId="14C627B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123.69944727</w:t>
                  </w:r>
                </w:p>
              </w:tc>
              <w:tc>
                <w:tcPr>
                  <w:tcW w:w="474" w:type="pct"/>
                  <w:tcBorders>
                    <w:left w:val="single" w:color="000000" w:sz="4" w:space="0"/>
                    <w:tl2br w:val="nil"/>
                    <w:tr2bl w:val="nil"/>
                  </w:tcBorders>
                  <w:noWrap w:val="0"/>
                  <w:vAlign w:val="center"/>
                </w:tcPr>
                <w:p w14:paraId="32BB778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41.47028205</w:t>
                  </w:r>
                </w:p>
              </w:tc>
              <w:tc>
                <w:tcPr>
                  <w:tcW w:w="457" w:type="pct"/>
                  <w:tcBorders>
                    <w:tl2br w:val="nil"/>
                    <w:tr2bl w:val="nil"/>
                  </w:tcBorders>
                  <w:noWrap w:val="0"/>
                  <w:vAlign w:val="center"/>
                </w:tcPr>
                <w:p w14:paraId="3EA5F6DF">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西北</w:t>
                  </w:r>
                </w:p>
              </w:tc>
              <w:tc>
                <w:tcPr>
                  <w:tcW w:w="410" w:type="pct"/>
                  <w:tcBorders>
                    <w:tl2br w:val="nil"/>
                    <w:tr2bl w:val="nil"/>
                  </w:tcBorders>
                  <w:noWrap w:val="0"/>
                  <w:vAlign w:val="center"/>
                </w:tcPr>
                <w:p w14:paraId="33973BB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490</w:t>
                  </w:r>
                </w:p>
              </w:tc>
              <w:tc>
                <w:tcPr>
                  <w:tcW w:w="594" w:type="pct"/>
                  <w:tcBorders>
                    <w:right w:val="single" w:color="000000" w:sz="4" w:space="0"/>
                    <w:tl2br w:val="nil"/>
                    <w:tr2bl w:val="nil"/>
                  </w:tcBorders>
                  <w:noWrap w:val="0"/>
                  <w:vAlign w:val="center"/>
                </w:tcPr>
                <w:p w14:paraId="0D26AAF7">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100</w:t>
                  </w:r>
                  <w:r>
                    <w:rPr>
                      <w:rFonts w:hint="default" w:ascii="Times New Roman" w:hAnsi="Times New Roman" w:cs="Times New Roman"/>
                      <w:b w:val="0"/>
                      <w:bCs w:val="0"/>
                      <w:color w:val="auto"/>
                      <w:sz w:val="21"/>
                      <w:szCs w:val="21"/>
                      <w:highlight w:val="none"/>
                      <w:vertAlign w:val="baseline"/>
                      <w:lang w:val="en-US" w:eastAsia="zh-CN"/>
                    </w:rPr>
                    <w:t>人</w:t>
                  </w:r>
                </w:p>
              </w:tc>
              <w:tc>
                <w:tcPr>
                  <w:tcW w:w="456" w:type="pct"/>
                  <w:tcBorders>
                    <w:left w:val="single" w:color="000000" w:sz="4" w:space="0"/>
                    <w:tl2br w:val="nil"/>
                    <w:tr2bl w:val="nil"/>
                  </w:tcBorders>
                  <w:noWrap w:val="0"/>
                  <w:vAlign w:val="center"/>
                </w:tcPr>
                <w:p w14:paraId="5BCFF13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大气环境</w:t>
                  </w:r>
                </w:p>
              </w:tc>
              <w:tc>
                <w:tcPr>
                  <w:tcW w:w="1170" w:type="pct"/>
                  <w:tcBorders>
                    <w:tl2br w:val="nil"/>
                    <w:tr2bl w:val="nil"/>
                  </w:tcBorders>
                  <w:noWrap w:val="0"/>
                  <w:vAlign w:val="center"/>
                </w:tcPr>
                <w:p w14:paraId="03CE0AA1">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《环境空气质量标准》（GB3095-20</w:t>
                  </w:r>
                  <w:r>
                    <w:rPr>
                      <w:rFonts w:hint="eastAsia" w:cs="Times New Roman"/>
                      <w:b w:val="0"/>
                      <w:bCs w:val="0"/>
                      <w:color w:val="auto"/>
                      <w:kern w:val="2"/>
                      <w:sz w:val="21"/>
                      <w:szCs w:val="21"/>
                      <w:highlight w:val="none"/>
                      <w:vertAlign w:val="baseline"/>
                      <w:lang w:val="en-US" w:eastAsia="zh-CN" w:bidi="ar-SA"/>
                    </w:rPr>
                    <w:t>26</w:t>
                  </w:r>
                  <w:r>
                    <w:rPr>
                      <w:rFonts w:hint="default" w:ascii="Times New Roman" w:hAnsi="Times New Roman" w:eastAsia="宋体" w:cs="Times New Roman"/>
                      <w:b w:val="0"/>
                      <w:bCs w:val="0"/>
                      <w:color w:val="auto"/>
                      <w:kern w:val="2"/>
                      <w:sz w:val="21"/>
                      <w:szCs w:val="21"/>
                      <w:highlight w:val="none"/>
                      <w:vertAlign w:val="baseline"/>
                      <w:lang w:val="en-US" w:eastAsia="zh-CN" w:bidi="ar-SA"/>
                    </w:rPr>
                    <w:t>）二级标准</w:t>
                  </w:r>
                </w:p>
              </w:tc>
            </w:tr>
            <w:tr w14:paraId="4B9D9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09" w:type="pct"/>
                  <w:tcBorders>
                    <w:tl2br w:val="nil"/>
                    <w:tr2bl w:val="nil"/>
                  </w:tcBorders>
                  <w:noWrap w:val="0"/>
                  <w:vAlign w:val="center"/>
                </w:tcPr>
                <w:p w14:paraId="75C1417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声环境</w:t>
                  </w:r>
                </w:p>
              </w:tc>
              <w:tc>
                <w:tcPr>
                  <w:tcW w:w="2963" w:type="pct"/>
                  <w:gridSpan w:val="6"/>
                  <w:tcBorders>
                    <w:right w:val="single" w:color="000000" w:sz="4" w:space="0"/>
                    <w:tl2br w:val="nil"/>
                    <w:tr2bl w:val="nil"/>
                  </w:tcBorders>
                  <w:noWrap w:val="0"/>
                  <w:vAlign w:val="center"/>
                </w:tcPr>
                <w:p w14:paraId="2445FF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本项目周边50m范围均为工业企业，无声环境保护目标分布。</w:t>
                  </w:r>
                </w:p>
              </w:tc>
              <w:tc>
                <w:tcPr>
                  <w:tcW w:w="456" w:type="pct"/>
                  <w:tcBorders>
                    <w:left w:val="single" w:color="000000" w:sz="4" w:space="0"/>
                    <w:tl2br w:val="nil"/>
                    <w:tr2bl w:val="nil"/>
                  </w:tcBorders>
                  <w:noWrap w:val="0"/>
                  <w:vAlign w:val="center"/>
                </w:tcPr>
                <w:p w14:paraId="671A6F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声环境</w:t>
                  </w:r>
                </w:p>
              </w:tc>
              <w:tc>
                <w:tcPr>
                  <w:tcW w:w="1170" w:type="pct"/>
                  <w:tcBorders>
                    <w:tl2br w:val="nil"/>
                    <w:tr2bl w:val="nil"/>
                  </w:tcBorders>
                  <w:noWrap w:val="0"/>
                  <w:vAlign w:val="center"/>
                </w:tcPr>
                <w:p w14:paraId="0A2CA623">
                  <w:pPr>
                    <w:pStyle w:val="37"/>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《声环境质量标准》（GB3096－2008）</w:t>
                  </w:r>
                  <w:r>
                    <w:rPr>
                      <w:rFonts w:hint="eastAsia" w:ascii="Times New Roman" w:hAnsi="Times New Roman" w:cs="Times New Roman"/>
                      <w:b w:val="0"/>
                      <w:bCs w:val="0"/>
                      <w:color w:val="auto"/>
                      <w:kern w:val="2"/>
                      <w:sz w:val="21"/>
                      <w:szCs w:val="21"/>
                      <w:highlight w:val="none"/>
                      <w:vertAlign w:val="baseline"/>
                      <w:lang w:val="en-US" w:eastAsia="zh-CN" w:bidi="ar-SA"/>
                    </w:rPr>
                    <w:t>2</w:t>
                  </w:r>
                  <w:r>
                    <w:rPr>
                      <w:rFonts w:hint="default" w:ascii="Times New Roman" w:hAnsi="Times New Roman" w:eastAsia="宋体" w:cs="Times New Roman"/>
                      <w:b w:val="0"/>
                      <w:bCs w:val="0"/>
                      <w:color w:val="auto"/>
                      <w:kern w:val="2"/>
                      <w:sz w:val="21"/>
                      <w:szCs w:val="21"/>
                      <w:highlight w:val="none"/>
                      <w:vertAlign w:val="baseline"/>
                      <w:lang w:val="en-US" w:eastAsia="zh-CN" w:bidi="ar-SA"/>
                    </w:rPr>
                    <w:t>类区标准</w:t>
                  </w:r>
                </w:p>
              </w:tc>
            </w:tr>
            <w:tr w14:paraId="26ED79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09" w:type="pct"/>
                  <w:tcBorders>
                    <w:tl2br w:val="nil"/>
                    <w:tr2bl w:val="nil"/>
                  </w:tcBorders>
                  <w:noWrap w:val="0"/>
                  <w:vAlign w:val="center"/>
                </w:tcPr>
                <w:p w14:paraId="5DB8028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地表水</w:t>
                  </w:r>
                </w:p>
              </w:tc>
              <w:tc>
                <w:tcPr>
                  <w:tcW w:w="2963" w:type="pct"/>
                  <w:gridSpan w:val="6"/>
                  <w:tcBorders>
                    <w:right w:val="single" w:color="000000" w:sz="4" w:space="0"/>
                    <w:tl2br w:val="nil"/>
                    <w:tr2bl w:val="nil"/>
                  </w:tcBorders>
                  <w:noWrap w:val="0"/>
                  <w:vAlign w:val="center"/>
                </w:tcPr>
                <w:p w14:paraId="482B135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cs="Times New Roman"/>
                      <w:b w:val="0"/>
                      <w:bCs w:val="0"/>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项目东侧1km北沙河</w:t>
                  </w:r>
                </w:p>
              </w:tc>
              <w:tc>
                <w:tcPr>
                  <w:tcW w:w="456" w:type="pct"/>
                  <w:tcBorders>
                    <w:left w:val="single" w:color="000000" w:sz="4" w:space="0"/>
                    <w:tl2br w:val="nil"/>
                    <w:tr2bl w:val="nil"/>
                  </w:tcBorders>
                  <w:noWrap w:val="0"/>
                  <w:vAlign w:val="center"/>
                </w:tcPr>
                <w:p w14:paraId="19A97C8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地表水环境</w:t>
                  </w:r>
                </w:p>
              </w:tc>
              <w:tc>
                <w:tcPr>
                  <w:tcW w:w="1170" w:type="pct"/>
                  <w:tcBorders>
                    <w:tl2br w:val="nil"/>
                    <w:tr2bl w:val="nil"/>
                  </w:tcBorders>
                  <w:noWrap w:val="0"/>
                  <w:vAlign w:val="center"/>
                </w:tcPr>
                <w:p w14:paraId="08F0FD22">
                  <w:pPr>
                    <w:pStyle w:val="37"/>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《地表水环境质量标准》（GB3838-2002）中III类标准</w:t>
                  </w:r>
                </w:p>
              </w:tc>
            </w:tr>
            <w:tr w14:paraId="5498E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09" w:type="pct"/>
                  <w:tcBorders>
                    <w:tl2br w:val="nil"/>
                    <w:tr2bl w:val="nil"/>
                  </w:tcBorders>
                  <w:noWrap w:val="0"/>
                  <w:vAlign w:val="center"/>
                </w:tcPr>
                <w:p w14:paraId="0A4599A7">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地下水</w:t>
                  </w:r>
                </w:p>
              </w:tc>
              <w:tc>
                <w:tcPr>
                  <w:tcW w:w="3420" w:type="pct"/>
                  <w:gridSpan w:val="7"/>
                  <w:tcBorders>
                    <w:tl2br w:val="nil"/>
                    <w:tr2bl w:val="nil"/>
                  </w:tcBorders>
                  <w:noWrap w:val="0"/>
                  <w:vAlign w:val="center"/>
                </w:tcPr>
                <w:p w14:paraId="18ACAA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eastAsia"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本项目所在区域</w:t>
                  </w:r>
                  <w:r>
                    <w:rPr>
                      <w:rFonts w:hint="eastAsia" w:cs="Times New Roman"/>
                      <w:color w:val="auto"/>
                      <w:sz w:val="21"/>
                      <w:szCs w:val="21"/>
                      <w:highlight w:val="none"/>
                      <w:lang w:val="en-US" w:eastAsia="zh-CN"/>
                    </w:rPr>
                    <w:t>均为市政供水</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本项目厂界外500米范围内</w:t>
                  </w:r>
                  <w:r>
                    <w:rPr>
                      <w:rFonts w:hint="default" w:ascii="Times New Roman" w:hAnsi="Times New Roman" w:cs="Times New Roman"/>
                      <w:color w:val="auto"/>
                      <w:sz w:val="21"/>
                      <w:szCs w:val="21"/>
                      <w:highlight w:val="none"/>
                      <w:lang w:val="en-US" w:eastAsia="zh-CN"/>
                    </w:rPr>
                    <w:t>无地下水分散式饮用水水源、</w:t>
                  </w:r>
                  <w:r>
                    <w:rPr>
                      <w:rFonts w:hint="default" w:ascii="Times New Roman" w:hAnsi="Times New Roman" w:cs="Times New Roman"/>
                      <w:color w:val="auto"/>
                      <w:sz w:val="21"/>
                      <w:szCs w:val="21"/>
                      <w:highlight w:val="none"/>
                    </w:rPr>
                    <w:t>集中式饮用水水源和热水、矿泉水、温泉等特殊地下水资源</w:t>
                  </w:r>
                  <w:r>
                    <w:rPr>
                      <w:rFonts w:hint="default" w:ascii="Times New Roman" w:hAnsi="Times New Roman" w:cs="Times New Roman"/>
                      <w:color w:val="auto"/>
                      <w:sz w:val="21"/>
                      <w:szCs w:val="21"/>
                      <w:highlight w:val="none"/>
                      <w:lang w:val="en-US" w:eastAsia="zh-CN"/>
                    </w:rPr>
                    <w:t>分布。</w:t>
                  </w:r>
                </w:p>
              </w:tc>
              <w:tc>
                <w:tcPr>
                  <w:tcW w:w="1170" w:type="pct"/>
                  <w:tcBorders>
                    <w:tl2br w:val="nil"/>
                    <w:tr2bl w:val="nil"/>
                  </w:tcBorders>
                  <w:noWrap w:val="0"/>
                  <w:vAlign w:val="center"/>
                </w:tcPr>
                <w:p w14:paraId="3E4AB4A7">
                  <w:pPr>
                    <w:pStyle w:val="37"/>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《地下水质量标准》（GB/T14848-2017）III类标准</w:t>
                  </w:r>
                </w:p>
              </w:tc>
            </w:tr>
            <w:tr w14:paraId="74B32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09" w:type="pct"/>
                  <w:tcBorders>
                    <w:tl2br w:val="nil"/>
                    <w:tr2bl w:val="nil"/>
                  </w:tcBorders>
                  <w:noWrap w:val="0"/>
                  <w:vAlign w:val="center"/>
                </w:tcPr>
                <w:p w14:paraId="64BA6455">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生态环境</w:t>
                  </w:r>
                </w:p>
              </w:tc>
              <w:tc>
                <w:tcPr>
                  <w:tcW w:w="4590" w:type="pct"/>
                  <w:gridSpan w:val="8"/>
                  <w:tcBorders>
                    <w:tl2br w:val="nil"/>
                    <w:tr2bl w:val="nil"/>
                  </w:tcBorders>
                  <w:noWrap w:val="0"/>
                  <w:vAlign w:val="center"/>
                </w:tcPr>
                <w:p w14:paraId="1FC689D0">
                  <w:pPr>
                    <w:pStyle w:val="37"/>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lang w:val="en-US" w:eastAsia="zh-CN" w:bidi="ar-SA"/>
                    </w:rPr>
                    <w:t>本项目无新增占地，项目500m范围无</w:t>
                  </w:r>
                  <w:r>
                    <w:rPr>
                      <w:rFonts w:hint="default" w:ascii="Times New Roman" w:hAnsi="Times New Roman" w:eastAsia="宋体" w:cs="Times New Roman"/>
                      <w:color w:val="auto"/>
                      <w:kern w:val="0"/>
                      <w:sz w:val="21"/>
                      <w:szCs w:val="21"/>
                      <w:highlight w:val="none"/>
                      <w:lang w:val="en-US" w:eastAsia="zh-CN" w:bidi="ar"/>
                    </w:rPr>
                    <w:t>国家公园、自然保护区、自然公园等自然保护地、世界</w:t>
                  </w:r>
                  <w:r>
                    <w:rPr>
                      <w:rFonts w:hint="default" w:ascii="Times New Roman" w:hAnsi="Times New Roman" w:cs="Times New Roman"/>
                      <w:color w:val="auto"/>
                      <w:kern w:val="2"/>
                      <w:sz w:val="21"/>
                      <w:szCs w:val="21"/>
                      <w:highlight w:val="none"/>
                      <w:lang w:val="en-US" w:eastAsia="zh-CN" w:bidi="ar-SA"/>
                    </w:rPr>
                    <w:t>自然遗产、生态保护红线等区域</w:t>
                  </w:r>
                  <w:r>
                    <w:rPr>
                      <w:rFonts w:hint="default" w:ascii="Times New Roman" w:hAnsi="Times New Roman" w:eastAsia="宋体" w:cs="Times New Roman"/>
                      <w:color w:val="auto"/>
                      <w:kern w:val="0"/>
                      <w:sz w:val="21"/>
                      <w:szCs w:val="21"/>
                      <w:highlight w:val="none"/>
                      <w:lang w:val="en-US" w:eastAsia="zh-CN" w:bidi="ar"/>
                    </w:rPr>
                    <w:t>、重要生境以及其他需要保护的物种、种群、生物群落及生态空间等生态环境保护目标分布</w:t>
                  </w:r>
                  <w:r>
                    <w:rPr>
                      <w:rFonts w:hint="default" w:ascii="Times New Roman" w:hAnsi="Times New Roman" w:eastAsia="宋体" w:cs="Times New Roman"/>
                      <w:color w:val="auto"/>
                      <w:kern w:val="2"/>
                      <w:sz w:val="21"/>
                      <w:szCs w:val="21"/>
                      <w:highlight w:val="none"/>
                      <w:lang w:val="en-US" w:eastAsia="zh-CN" w:bidi="ar-SA"/>
                    </w:rPr>
                    <w:t>。</w:t>
                  </w:r>
                </w:p>
              </w:tc>
            </w:tr>
          </w:tbl>
          <w:p w14:paraId="5DD32626">
            <w:pPr>
              <w:pStyle w:val="29"/>
              <w:numPr>
                <w:ilvl w:val="0"/>
                <w:numId w:val="0"/>
              </w:numPr>
              <w:jc w:val="both"/>
              <w:rPr>
                <w:rFonts w:hint="eastAsia" w:ascii="黑体" w:hAnsi="黑体" w:eastAsia="黑体"/>
                <w:snapToGrid w:val="0"/>
                <w:color w:val="auto"/>
                <w:sz w:val="30"/>
                <w:szCs w:val="30"/>
                <w:highlight w:val="none"/>
                <w:vertAlign w:val="baseline"/>
              </w:rPr>
            </w:pPr>
          </w:p>
        </w:tc>
      </w:tr>
      <w:tr w14:paraId="454D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0" w:type="dxa"/>
            <w:vAlign w:val="center"/>
          </w:tcPr>
          <w:p w14:paraId="4C722BA1">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污染物排放控制标准</w:t>
            </w:r>
          </w:p>
        </w:tc>
        <w:tc>
          <w:tcPr>
            <w:tcW w:w="7962" w:type="dxa"/>
          </w:tcPr>
          <w:p w14:paraId="3B838B25">
            <w:pPr>
              <w:keepNext w:val="0"/>
              <w:keepLines w:val="0"/>
              <w:pageBreakBefore w:val="0"/>
              <w:widowControl w:val="0"/>
              <w:numPr>
                <w:ilvl w:val="0"/>
                <w:numId w:val="0"/>
              </w:numPr>
              <w:kinsoku w:val="0"/>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1.施工期</w:t>
            </w:r>
          </w:p>
          <w:p w14:paraId="12001BD2">
            <w:pPr>
              <w:keepNext w:val="0"/>
              <w:keepLines w:val="0"/>
              <w:pageBreakBefore w:val="0"/>
              <w:widowControl w:val="0"/>
              <w:numPr>
                <w:ilvl w:val="0"/>
                <w:numId w:val="0"/>
              </w:numPr>
              <w:kinsoku w:val="0"/>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（1）施工废气</w:t>
            </w:r>
          </w:p>
          <w:p w14:paraId="19F009E0">
            <w:pPr>
              <w:keepNext w:val="0"/>
              <w:keepLines w:val="0"/>
              <w:pageBreakBefore w:val="0"/>
              <w:widowControl w:val="0"/>
              <w:numPr>
                <w:ilvl w:val="0"/>
                <w:numId w:val="0"/>
              </w:numPr>
              <w:kinsoku w:val="0"/>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val="en-US" w:eastAsia="zh-CN"/>
              </w:rPr>
              <w:t>本项目位于</w:t>
            </w:r>
            <w:r>
              <w:rPr>
                <w:rFonts w:hint="eastAsia" w:ascii="Times New Roman" w:hAnsi="Times New Roman" w:eastAsia="宋体" w:cs="Times New Roman"/>
                <w:color w:val="auto"/>
                <w:sz w:val="24"/>
                <w:highlight w:val="none"/>
                <w:lang w:val="en-US" w:eastAsia="zh-CN"/>
              </w:rPr>
              <w:t>新技术产业开发区石桥子平台一街6号</w:t>
            </w:r>
            <w:r>
              <w:rPr>
                <w:rFonts w:hint="default" w:ascii="Times New Roman" w:hAnsi="Times New Roman" w:eastAsia="宋体" w:cs="Times New Roman"/>
                <w:color w:val="auto"/>
                <w:sz w:val="24"/>
                <w:highlight w:val="none"/>
                <w:lang w:val="en-US" w:eastAsia="zh-CN"/>
              </w:rPr>
              <w:t>，</w:t>
            </w:r>
            <w:r>
              <w:rPr>
                <w:color w:val="auto"/>
                <w:highlight w:val="none"/>
              </w:rPr>
              <w:t>施工扬尘执行《施工及堆料场地扬尘排放标准》（DB21/2642-2016）中</w:t>
            </w:r>
            <w:r>
              <w:rPr>
                <w:rFonts w:hint="eastAsia"/>
                <w:color w:val="auto"/>
                <w:highlight w:val="none"/>
                <w:lang w:eastAsia="zh-CN"/>
              </w:rPr>
              <w:t>城镇建成区</w:t>
            </w:r>
            <w:r>
              <w:rPr>
                <w:color w:val="auto"/>
                <w:highlight w:val="none"/>
              </w:rPr>
              <w:t>扬尘排放浓度限值要求</w:t>
            </w:r>
            <w:r>
              <w:rPr>
                <w:rFonts w:hint="default" w:ascii="Times New Roman" w:hAnsi="Times New Roman" w:eastAsia="宋体" w:cs="Times New Roman"/>
                <w:color w:val="auto"/>
                <w:sz w:val="24"/>
                <w:highlight w:val="none"/>
              </w:rPr>
              <w:t>，具体浓度见下表</w:t>
            </w:r>
            <w:r>
              <w:rPr>
                <w:rFonts w:hint="default" w:ascii="Times New Roman" w:hAnsi="Times New Roman" w:cs="Times New Roman"/>
                <w:color w:val="auto"/>
                <w:sz w:val="24"/>
                <w:highlight w:val="none"/>
              </w:rPr>
              <w:t>。</w:t>
            </w:r>
          </w:p>
          <w:p w14:paraId="23E839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表</w:t>
            </w:r>
            <w:r>
              <w:rPr>
                <w:rFonts w:hint="default" w:ascii="黑体" w:hAnsi="黑体" w:eastAsia="黑体" w:cs="黑体"/>
                <w:b w:val="0"/>
                <w:bCs/>
                <w:color w:val="auto"/>
                <w:sz w:val="21"/>
                <w:szCs w:val="21"/>
                <w:highlight w:val="none"/>
                <w:lang w:val="en-US" w:eastAsia="zh-CN"/>
              </w:rPr>
              <w:t>3-</w:t>
            </w:r>
            <w:r>
              <w:rPr>
                <w:rFonts w:hint="eastAsia" w:ascii="黑体" w:hAnsi="黑体" w:eastAsia="黑体" w:cs="黑体"/>
                <w:b w:val="0"/>
                <w:bCs/>
                <w:color w:val="auto"/>
                <w:sz w:val="21"/>
                <w:szCs w:val="21"/>
                <w:highlight w:val="none"/>
                <w:lang w:val="en-US" w:eastAsia="zh-CN"/>
              </w:rPr>
              <w:t>5</w:t>
            </w:r>
            <w:r>
              <w:rPr>
                <w:rFonts w:hint="default" w:ascii="Times New Roman" w:hAnsi="Times New Roman" w:eastAsia="黑体" w:cs="Times New Roman"/>
                <w:b w:val="0"/>
                <w:bCs w:val="0"/>
                <w:color w:val="auto"/>
                <w:sz w:val="21"/>
                <w:szCs w:val="21"/>
                <w:highlight w:val="none"/>
              </w:rPr>
              <w:t>辽宁省施工及堆料场地扬尘排放标准</w:t>
            </w:r>
          </w:p>
          <w:tbl>
            <w:tblPr>
              <w:tblStyle w:val="24"/>
              <w:tblW w:w="780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2145"/>
              <w:gridCol w:w="4030"/>
            </w:tblGrid>
            <w:tr w14:paraId="0095FC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582" w:type="dxa"/>
                  <w:tcBorders>
                    <w:top w:val="single" w:color="auto" w:sz="12" w:space="0"/>
                    <w:bottom w:val="single" w:color="auto" w:sz="4" w:space="0"/>
                    <w:right w:val="single" w:color="auto" w:sz="4" w:space="0"/>
                    <w:tl2br w:val="nil"/>
                    <w:tr2bl w:val="nil"/>
                  </w:tcBorders>
                  <w:shd w:val="clear" w:color="auto" w:fill="auto"/>
                  <w:noWrap/>
                  <w:vAlign w:val="center"/>
                </w:tcPr>
                <w:p w14:paraId="6EE136E7">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监测项目</w:t>
                  </w:r>
                </w:p>
              </w:tc>
              <w:tc>
                <w:tcPr>
                  <w:tcW w:w="2160" w:type="dxa"/>
                  <w:tcBorders>
                    <w:top w:val="single" w:color="auto" w:sz="12" w:space="0"/>
                    <w:left w:val="single" w:color="auto" w:sz="4" w:space="0"/>
                    <w:bottom w:val="single" w:color="auto" w:sz="4" w:space="0"/>
                    <w:right w:val="single" w:color="auto" w:sz="4" w:space="0"/>
                    <w:tl2br w:val="nil"/>
                    <w:tr2bl w:val="nil"/>
                  </w:tcBorders>
                  <w:shd w:val="clear" w:color="auto" w:fill="auto"/>
                  <w:noWrap/>
                  <w:vAlign w:val="center"/>
                </w:tcPr>
                <w:p w14:paraId="16381C53">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区域</w:t>
                  </w:r>
                </w:p>
              </w:tc>
              <w:tc>
                <w:tcPr>
                  <w:tcW w:w="4061" w:type="dxa"/>
                  <w:tcBorders>
                    <w:top w:val="single" w:color="auto" w:sz="12" w:space="0"/>
                    <w:left w:val="single" w:color="auto" w:sz="4" w:space="0"/>
                    <w:bottom w:val="single" w:color="auto" w:sz="4" w:space="0"/>
                    <w:tl2br w:val="nil"/>
                    <w:tr2bl w:val="nil"/>
                  </w:tcBorders>
                  <w:shd w:val="clear" w:color="auto" w:fill="auto"/>
                  <w:noWrap/>
                  <w:vAlign w:val="center"/>
                </w:tcPr>
                <w:p w14:paraId="4CB9C73F">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浓度限值（连续5min平均浓度）</w:t>
                  </w:r>
                </w:p>
              </w:tc>
            </w:tr>
            <w:tr w14:paraId="6E38B3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582" w:type="dxa"/>
                  <w:tcBorders>
                    <w:top w:val="single" w:color="auto" w:sz="4" w:space="0"/>
                    <w:bottom w:val="single" w:color="auto" w:sz="12" w:space="0"/>
                    <w:right w:val="single" w:color="auto" w:sz="4" w:space="0"/>
                    <w:tl2br w:val="nil"/>
                    <w:tr2bl w:val="nil"/>
                  </w:tcBorders>
                  <w:shd w:val="clear" w:color="auto" w:fill="auto"/>
                  <w:noWrap/>
                  <w:vAlign w:val="center"/>
                </w:tcPr>
                <w:p w14:paraId="35E7E99D">
                  <w:pPr>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2160" w:type="dxa"/>
                  <w:tcBorders>
                    <w:top w:val="single" w:color="auto" w:sz="4" w:space="0"/>
                    <w:left w:val="single" w:color="auto" w:sz="4" w:space="0"/>
                    <w:bottom w:val="single" w:color="auto" w:sz="12" w:space="0"/>
                    <w:right w:val="single" w:color="auto" w:sz="4" w:space="0"/>
                    <w:tl2br w:val="nil"/>
                    <w:tr2bl w:val="nil"/>
                  </w:tcBorders>
                  <w:shd w:val="clear" w:color="auto" w:fill="auto"/>
                  <w:noWrap/>
                  <w:vAlign w:val="center"/>
                </w:tcPr>
                <w:p w14:paraId="2A51401C">
                  <w:pPr>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城镇建成区</w:t>
                  </w:r>
                </w:p>
              </w:tc>
              <w:tc>
                <w:tcPr>
                  <w:tcW w:w="4061" w:type="dxa"/>
                  <w:tcBorders>
                    <w:top w:val="single" w:color="auto" w:sz="4" w:space="0"/>
                    <w:left w:val="single" w:color="auto" w:sz="4" w:space="0"/>
                    <w:bottom w:val="single" w:color="auto" w:sz="12" w:space="0"/>
                    <w:tl2br w:val="nil"/>
                    <w:tr2bl w:val="nil"/>
                  </w:tcBorders>
                  <w:shd w:val="clear" w:color="auto" w:fill="auto"/>
                  <w:noWrap/>
                  <w:vAlign w:val="center"/>
                </w:tcPr>
                <w:p w14:paraId="129B52DF">
                  <w:pPr>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w:t>
                  </w:r>
                  <w:r>
                    <w:rPr>
                      <w:rFonts w:hint="default" w:ascii="Times New Roman" w:hAnsi="Times New Roman" w:eastAsia="黑体" w:cs="Times New Roman"/>
                      <w:b w:val="0"/>
                      <w:bCs w:val="0"/>
                      <w:color w:val="auto"/>
                      <w:sz w:val="21"/>
                      <w:szCs w:val="21"/>
                      <w:highlight w:val="none"/>
                    </w:rPr>
                    <w:t>mg/m</w:t>
                  </w:r>
                  <w:r>
                    <w:rPr>
                      <w:rFonts w:hint="default" w:ascii="Times New Roman" w:hAnsi="Times New Roman" w:eastAsia="黑体" w:cs="Times New Roman"/>
                      <w:b w:val="0"/>
                      <w:bCs w:val="0"/>
                      <w:color w:val="auto"/>
                      <w:sz w:val="21"/>
                      <w:szCs w:val="21"/>
                      <w:highlight w:val="none"/>
                      <w:vertAlign w:val="superscript"/>
                    </w:rPr>
                    <w:t>3</w:t>
                  </w:r>
                </w:p>
              </w:tc>
            </w:tr>
          </w:tbl>
          <w:p w14:paraId="3E361403">
            <w:pPr>
              <w:keepNext w:val="0"/>
              <w:keepLines w:val="0"/>
              <w:pageBreakBefore w:val="0"/>
              <w:widowControl w:val="0"/>
              <w:numPr>
                <w:ilvl w:val="0"/>
                <w:numId w:val="0"/>
              </w:numPr>
              <w:kinsoku w:val="0"/>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（2）施工噪声</w:t>
            </w:r>
          </w:p>
          <w:p w14:paraId="1BE92F5F">
            <w:pPr>
              <w:keepNext w:val="0"/>
              <w:keepLines w:val="0"/>
              <w:pageBreakBefore w:val="0"/>
              <w:widowControl w:val="0"/>
              <w:numPr>
                <w:ilvl w:val="0"/>
                <w:numId w:val="0"/>
              </w:numPr>
              <w:kinsoku w:val="0"/>
              <w:wordWrap/>
              <w:overflowPunct/>
              <w:topLinePunct w:val="0"/>
              <w:autoSpaceDE/>
              <w:autoSpaceDN/>
              <w:bidi w:val="0"/>
              <w:adjustRightInd w:val="0"/>
              <w:snapToGrid w:val="0"/>
              <w:spacing w:line="360" w:lineRule="auto"/>
              <w:ind w:leftChars="0" w:firstLine="480" w:firstLineChars="200"/>
              <w:textAlignment w:val="auto"/>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施工期噪声执行《建筑施工噪声排放标准》（GB12523-2025）表1标准，标准限值见下表。</w:t>
            </w:r>
          </w:p>
          <w:p w14:paraId="1164BE01">
            <w:pPr>
              <w:spacing w:line="360" w:lineRule="exact"/>
              <w:ind w:firstLine="308" w:firstLineChars="147"/>
              <w:jc w:val="center"/>
              <w:rPr>
                <w:rFonts w:hint="eastAsia" w:ascii="黑体" w:hAnsi="黑体" w:eastAsia="黑体" w:cs="黑体"/>
                <w:b w:val="0"/>
                <w:bCs/>
                <w:color w:val="000000"/>
                <w:kern w:val="2"/>
                <w:sz w:val="21"/>
                <w:szCs w:val="21"/>
                <w:highlight w:val="none"/>
                <w:lang w:val="en-US" w:eastAsia="zh-CN" w:bidi="ar-SA"/>
              </w:rPr>
            </w:pPr>
            <w:r>
              <w:rPr>
                <w:rFonts w:hint="eastAsia" w:ascii="黑体" w:hAnsi="黑体" w:eastAsia="黑体" w:cs="黑体"/>
                <w:b w:val="0"/>
                <w:bCs/>
                <w:color w:val="000000"/>
                <w:kern w:val="2"/>
                <w:sz w:val="21"/>
                <w:szCs w:val="21"/>
                <w:highlight w:val="none"/>
                <w:lang w:val="en-US" w:eastAsia="zh-CN" w:bidi="ar-SA"/>
              </w:rPr>
              <w:t>表3-6建筑施工场界环境噪声排放标准  单位：dB（A）</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21"/>
              <w:gridCol w:w="3523"/>
            </w:tblGrid>
            <w:tr w14:paraId="378796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2725" w:type="pct"/>
                  <w:vAlign w:val="center"/>
                </w:tcPr>
                <w:p w14:paraId="61985EE4">
                  <w:pPr>
                    <w:pStyle w:val="2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昼间</w:t>
                  </w:r>
                </w:p>
              </w:tc>
              <w:tc>
                <w:tcPr>
                  <w:tcW w:w="2274" w:type="pct"/>
                  <w:vAlign w:val="center"/>
                </w:tcPr>
                <w:p w14:paraId="56B2830A">
                  <w:pPr>
                    <w:pStyle w:val="2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夜间</w:t>
                  </w:r>
                </w:p>
              </w:tc>
            </w:tr>
            <w:tr w14:paraId="60A1A2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25" w:type="pct"/>
                  <w:vAlign w:val="center"/>
                </w:tcPr>
                <w:p w14:paraId="5A25C8D4">
                  <w:pPr>
                    <w:pStyle w:val="2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70</w:t>
                  </w:r>
                </w:p>
              </w:tc>
              <w:tc>
                <w:tcPr>
                  <w:tcW w:w="2274" w:type="pct"/>
                  <w:vAlign w:val="center"/>
                </w:tcPr>
                <w:p w14:paraId="2D1DB632">
                  <w:pPr>
                    <w:pStyle w:val="2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55</w:t>
                  </w:r>
                </w:p>
              </w:tc>
            </w:tr>
          </w:tbl>
          <w:p w14:paraId="076F7119">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2.运营期</w:t>
            </w:r>
          </w:p>
          <w:p w14:paraId="6BFB7852">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w:t>
            </w:r>
            <w:r>
              <w:rPr>
                <w:rFonts w:hint="eastAsia" w:ascii="Times New Roman" w:hAnsi="Times New Roman" w:cs="Times New Roman"/>
                <w:color w:val="auto"/>
                <w:kern w:val="2"/>
                <w:sz w:val="24"/>
                <w:szCs w:val="24"/>
                <w:highlight w:val="none"/>
                <w:lang w:val="en-US" w:eastAsia="zh-CN" w:bidi="ar-SA"/>
              </w:rPr>
              <w:t>废气</w:t>
            </w:r>
          </w:p>
          <w:p w14:paraId="55130F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本项目运行过程中产生的废气主要为液氮、液二氧化碳、液一氧化二氮贮存、充装过程中产生的废气，其中氮气、二氧化碳</w:t>
            </w:r>
            <w:r>
              <w:rPr>
                <w:rFonts w:hint="default" w:ascii="Times New Roman" w:hAnsi="Times New Roman" w:eastAsia="宋体" w:cs="Times New Roman"/>
                <w:color w:val="auto"/>
                <w:kern w:val="0"/>
                <w:sz w:val="24"/>
                <w:highlight w:val="none"/>
                <w:lang w:val="en-US" w:eastAsia="zh-CN"/>
              </w:rPr>
              <w:t>均为空气中的主要组分，</w:t>
            </w:r>
            <w:r>
              <w:rPr>
                <w:rFonts w:hint="eastAsia" w:ascii="Times New Roman" w:hAnsi="Times New Roman" w:eastAsia="宋体" w:cs="Times New Roman"/>
                <w:color w:val="auto"/>
                <w:kern w:val="0"/>
                <w:sz w:val="24"/>
                <w:highlight w:val="none"/>
                <w:lang w:val="en-US" w:eastAsia="zh-CN"/>
              </w:rPr>
              <w:t>不属于污染物。</w:t>
            </w:r>
            <w:r>
              <w:rPr>
                <w:rFonts w:hint="eastAsia" w:cs="Times New Roman"/>
                <w:color w:val="auto"/>
                <w:kern w:val="0"/>
                <w:sz w:val="24"/>
                <w:highlight w:val="none"/>
                <w:lang w:val="en-US" w:eastAsia="zh-CN"/>
              </w:rPr>
              <w:t>其中</w:t>
            </w:r>
            <w:r>
              <w:rPr>
                <w:rFonts w:hint="eastAsia" w:ascii="Times New Roman" w:hAnsi="Times New Roman" w:eastAsia="宋体" w:cs="Times New Roman"/>
                <w:color w:val="auto"/>
                <w:kern w:val="0"/>
                <w:sz w:val="24"/>
                <w:highlight w:val="none"/>
                <w:lang w:val="en-US" w:eastAsia="zh-CN"/>
              </w:rPr>
              <w:t>一氧化二氮</w:t>
            </w:r>
            <w:r>
              <w:rPr>
                <w:rFonts w:hint="eastAsia" w:cs="Times New Roman"/>
                <w:color w:val="auto"/>
                <w:kern w:val="0"/>
                <w:sz w:val="24"/>
                <w:highlight w:val="none"/>
                <w:lang w:val="en-US" w:eastAsia="zh-CN"/>
              </w:rPr>
              <w:t>（化学定义归属氮氧化物类别）</w:t>
            </w:r>
            <w:r>
              <w:rPr>
                <w:rFonts w:hint="eastAsia" w:ascii="Times New Roman" w:hAnsi="Times New Roman" w:eastAsia="宋体" w:cs="Times New Roman"/>
                <w:color w:val="auto"/>
                <w:kern w:val="0"/>
                <w:sz w:val="24"/>
                <w:highlight w:val="none"/>
                <w:lang w:val="en-US" w:eastAsia="zh-CN"/>
              </w:rPr>
              <w:t>主要为</w:t>
            </w:r>
            <w:r>
              <w:rPr>
                <w:rFonts w:hint="eastAsia" w:cs="Times New Roman"/>
                <w:color w:val="auto"/>
                <w:kern w:val="0"/>
                <w:sz w:val="24"/>
                <w:highlight w:val="none"/>
                <w:lang w:val="en-US" w:eastAsia="zh-CN"/>
              </w:rPr>
              <w:t>槽车向储罐转输</w:t>
            </w:r>
            <w:r>
              <w:rPr>
                <w:rFonts w:hint="eastAsia" w:ascii="Times New Roman" w:hAnsi="Times New Roman" w:eastAsia="宋体" w:cs="Times New Roman"/>
                <w:color w:val="auto"/>
                <w:kern w:val="0"/>
                <w:sz w:val="24"/>
                <w:highlight w:val="none"/>
                <w:lang w:val="en-US" w:eastAsia="zh-CN"/>
              </w:rPr>
              <w:t>以及充装过程中少量逸散，排放方式为无组织排放。一氧化二氮无组织排放</w:t>
            </w:r>
            <w:r>
              <w:rPr>
                <w:rFonts w:hint="eastAsia" w:cs="Times New Roman"/>
                <w:color w:val="auto"/>
                <w:kern w:val="0"/>
                <w:sz w:val="24"/>
                <w:highlight w:val="none"/>
                <w:lang w:val="en-US" w:eastAsia="zh-CN"/>
              </w:rPr>
              <w:t>参照</w:t>
            </w:r>
            <w:r>
              <w:rPr>
                <w:rFonts w:hint="eastAsia" w:ascii="Times New Roman" w:hAnsi="Times New Roman" w:eastAsia="宋体" w:cs="Times New Roman"/>
                <w:color w:val="auto"/>
                <w:kern w:val="0"/>
                <w:sz w:val="24"/>
                <w:highlight w:val="none"/>
                <w:lang w:val="en-US" w:eastAsia="zh-CN"/>
              </w:rPr>
              <w:t>执行</w:t>
            </w:r>
            <w:r>
              <w:rPr>
                <w:rFonts w:hint="eastAsia" w:ascii="Times New Roman" w:hAnsi="Times New Roman" w:cs="Times New Roman"/>
                <w:color w:val="auto"/>
                <w:kern w:val="2"/>
                <w:sz w:val="24"/>
                <w:szCs w:val="24"/>
                <w:highlight w:val="none"/>
                <w:lang w:val="en-US" w:eastAsia="zh-CN" w:bidi="ar-SA"/>
              </w:rPr>
              <w:t>《大气污染物排放标准》（GB16297-1996）表2</w:t>
            </w:r>
            <w:r>
              <w:rPr>
                <w:rFonts w:hint="eastAsia" w:cs="Times New Roman"/>
                <w:color w:val="auto"/>
                <w:kern w:val="2"/>
                <w:sz w:val="24"/>
                <w:szCs w:val="24"/>
                <w:highlight w:val="none"/>
                <w:lang w:val="en-US" w:eastAsia="zh-CN" w:bidi="ar-SA"/>
              </w:rPr>
              <w:t>中氮氧化物排放</w:t>
            </w:r>
            <w:r>
              <w:rPr>
                <w:rFonts w:hint="eastAsia" w:ascii="Times New Roman" w:hAnsi="Times New Roman" w:cs="Times New Roman"/>
                <w:color w:val="auto"/>
                <w:kern w:val="2"/>
                <w:sz w:val="24"/>
                <w:szCs w:val="24"/>
                <w:highlight w:val="none"/>
                <w:lang w:val="en-US" w:eastAsia="zh-CN" w:bidi="ar-SA"/>
              </w:rPr>
              <w:t>标准限值。</w:t>
            </w:r>
          </w:p>
          <w:p w14:paraId="42E952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具体标准限值如下表所示。</w:t>
            </w:r>
          </w:p>
          <w:p w14:paraId="3733428D">
            <w:pPr>
              <w:pStyle w:val="13"/>
              <w:spacing w:line="240" w:lineRule="auto"/>
              <w:jc w:val="center"/>
              <w:rPr>
                <w:rFonts w:hint="eastAsia" w:ascii="黑体" w:hAnsi="黑体" w:eastAsia="黑体" w:cs="黑体"/>
                <w:b w:val="0"/>
                <w:bCs w:val="0"/>
                <w:color w:val="auto"/>
                <w:kern w:val="2"/>
                <w:sz w:val="21"/>
                <w:szCs w:val="21"/>
                <w:highlight w:val="none"/>
                <w:lang w:val="en-US" w:eastAsia="zh-CN" w:bidi="ar-SA"/>
              </w:rPr>
            </w:pPr>
            <w:r>
              <w:rPr>
                <w:rFonts w:hint="eastAsia" w:ascii="黑体" w:hAnsi="黑体" w:eastAsia="黑体" w:cs="黑体"/>
                <w:b w:val="0"/>
                <w:bCs w:val="0"/>
                <w:color w:val="auto"/>
                <w:kern w:val="2"/>
                <w:sz w:val="21"/>
                <w:szCs w:val="21"/>
                <w:highlight w:val="none"/>
                <w:lang w:val="en-US" w:eastAsia="zh-CN" w:bidi="ar-SA"/>
              </w:rPr>
              <w:t>表3-7无组织废气污染物排放标准限值</w:t>
            </w:r>
          </w:p>
          <w:tbl>
            <w:tblPr>
              <w:tblStyle w:val="2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718"/>
              <w:gridCol w:w="1567"/>
              <w:gridCol w:w="3118"/>
            </w:tblGrid>
            <w:tr w14:paraId="65925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63" w:type="pct"/>
                  <w:tcBorders>
                    <w:tl2br w:val="nil"/>
                    <w:tr2bl w:val="nil"/>
                  </w:tcBorders>
                  <w:noWrap w:val="0"/>
                  <w:vAlign w:val="center"/>
                </w:tcPr>
                <w:p w14:paraId="31F7082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污染物名称</w:t>
                  </w:r>
                </w:p>
              </w:tc>
              <w:tc>
                <w:tcPr>
                  <w:tcW w:w="1109" w:type="pct"/>
                  <w:tcBorders>
                    <w:tl2br w:val="nil"/>
                    <w:tr2bl w:val="nil"/>
                  </w:tcBorders>
                  <w:noWrap w:val="0"/>
                  <w:vAlign w:val="center"/>
                </w:tcPr>
                <w:p w14:paraId="6A547C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标准限值mg/m</w:t>
                  </w:r>
                  <w:r>
                    <w:rPr>
                      <w:rFonts w:hint="default" w:ascii="Times New Roman" w:hAnsi="Times New Roman" w:eastAsia="宋体" w:cs="Times New Roman"/>
                      <w:b w:val="0"/>
                      <w:bCs w:val="0"/>
                      <w:color w:val="auto"/>
                      <w:sz w:val="21"/>
                      <w:szCs w:val="21"/>
                      <w:highlight w:val="none"/>
                      <w:vertAlign w:val="superscript"/>
                      <w:lang w:val="en-US" w:eastAsia="zh-CN"/>
                    </w:rPr>
                    <w:t>3</w:t>
                  </w:r>
                </w:p>
              </w:tc>
              <w:tc>
                <w:tcPr>
                  <w:tcW w:w="1012" w:type="pct"/>
                  <w:tcBorders>
                    <w:tl2br w:val="nil"/>
                    <w:tr2bl w:val="nil"/>
                  </w:tcBorders>
                  <w:noWrap w:val="0"/>
                  <w:vAlign w:val="center"/>
                </w:tcPr>
                <w:p w14:paraId="27840A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监控点</w:t>
                  </w:r>
                </w:p>
              </w:tc>
              <w:tc>
                <w:tcPr>
                  <w:tcW w:w="2014" w:type="pct"/>
                  <w:tcBorders>
                    <w:tl2br w:val="nil"/>
                    <w:tr2bl w:val="nil"/>
                  </w:tcBorders>
                  <w:noWrap w:val="0"/>
                  <w:vAlign w:val="center"/>
                </w:tcPr>
                <w:p w14:paraId="00FC6D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执行标准</w:t>
                  </w:r>
                </w:p>
              </w:tc>
            </w:tr>
            <w:tr w14:paraId="6FE43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63" w:type="pct"/>
                  <w:tcBorders>
                    <w:tl2br w:val="nil"/>
                    <w:tr2bl w:val="nil"/>
                  </w:tcBorders>
                  <w:noWrap w:val="0"/>
                  <w:vAlign w:val="center"/>
                </w:tcPr>
                <w:p w14:paraId="0EE869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氮氧化物</w:t>
                  </w:r>
                </w:p>
              </w:tc>
              <w:tc>
                <w:tcPr>
                  <w:tcW w:w="1109" w:type="pct"/>
                  <w:tcBorders>
                    <w:tl2br w:val="nil"/>
                    <w:tr2bl w:val="nil"/>
                  </w:tcBorders>
                  <w:noWrap w:val="0"/>
                  <w:vAlign w:val="center"/>
                </w:tcPr>
                <w:p w14:paraId="1A1909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0.12</w:t>
                  </w:r>
                </w:p>
              </w:tc>
              <w:tc>
                <w:tcPr>
                  <w:tcW w:w="1012" w:type="pct"/>
                  <w:tcBorders>
                    <w:tl2br w:val="nil"/>
                    <w:tr2bl w:val="nil"/>
                  </w:tcBorders>
                  <w:noWrap w:val="0"/>
                  <w:vAlign w:val="center"/>
                </w:tcPr>
                <w:p w14:paraId="636FD3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周界外浓度最高点</w:t>
                  </w:r>
                </w:p>
              </w:tc>
              <w:tc>
                <w:tcPr>
                  <w:tcW w:w="2014" w:type="pct"/>
                  <w:tcBorders>
                    <w:tl2br w:val="nil"/>
                    <w:tr2bl w:val="nil"/>
                  </w:tcBorders>
                  <w:noWrap w:val="0"/>
                  <w:vAlign w:val="center"/>
                </w:tcPr>
                <w:p w14:paraId="58A3FB1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《大气污染物综合排放标准》（GB16297-1996）表2</w:t>
                  </w:r>
                </w:p>
              </w:tc>
            </w:tr>
          </w:tbl>
          <w:p w14:paraId="39031F42">
            <w:pPr>
              <w:pStyle w:val="2"/>
              <w:numPr>
                <w:ilvl w:val="0"/>
                <w:numId w:val="0"/>
              </w:numPr>
              <w:spacing w:after="0" w:line="360" w:lineRule="auto"/>
              <w:ind w:left="0" w:leftChars="0" w:firstLine="480" w:firstLineChars="200"/>
              <w:rPr>
                <w:rFonts w:hint="default" w:cs="Times New Roman"/>
                <w:color w:val="auto"/>
                <w:sz w:val="24"/>
                <w:highlight w:val="none"/>
                <w:lang w:val="en-US" w:eastAsia="zh-CN"/>
              </w:rPr>
            </w:pPr>
            <w:r>
              <w:rPr>
                <w:rFonts w:hint="eastAsia" w:cs="Times New Roman"/>
                <w:color w:val="auto"/>
                <w:sz w:val="24"/>
                <w:highlight w:val="none"/>
                <w:lang w:val="en-US" w:eastAsia="zh-CN"/>
              </w:rPr>
              <w:t>（2）</w:t>
            </w:r>
            <w:r>
              <w:rPr>
                <w:rFonts w:hint="default" w:cs="Times New Roman"/>
                <w:color w:val="auto"/>
                <w:sz w:val="24"/>
                <w:highlight w:val="none"/>
                <w:lang w:val="en-US" w:eastAsia="zh-CN"/>
              </w:rPr>
              <w:t>噪声</w:t>
            </w:r>
          </w:p>
          <w:p w14:paraId="1387824E">
            <w:pPr>
              <w:pStyle w:val="8"/>
              <w:bidi w:val="0"/>
              <w:rPr>
                <w:rFonts w:hint="eastAsia" w:ascii="Times New Roman" w:hAnsi="Times New Roman" w:eastAsia="宋体" w:cs="Times New Roman"/>
                <w:b w:val="0"/>
                <w:color w:val="auto"/>
                <w:kern w:val="2"/>
                <w:sz w:val="24"/>
                <w:szCs w:val="28"/>
                <w:highlight w:val="none"/>
                <w:lang w:val="en-US" w:eastAsia="zh-CN" w:bidi="ar"/>
              </w:rPr>
            </w:pPr>
            <w:r>
              <w:rPr>
                <w:rFonts w:hint="eastAsia" w:ascii="Times New Roman" w:hAnsi="Times New Roman" w:eastAsia="宋体" w:cs="Times New Roman"/>
                <w:b w:val="0"/>
                <w:color w:val="auto"/>
                <w:kern w:val="2"/>
                <w:sz w:val="24"/>
                <w:szCs w:val="28"/>
                <w:highlight w:val="none"/>
                <w:lang w:val="en-US" w:eastAsia="zh-CN" w:bidi="ar"/>
              </w:rPr>
              <w:t>本项目位于沈本新城噪声环境功能区划3类区内，企业厂界噪声</w:t>
            </w:r>
            <w:r>
              <w:rPr>
                <w:rFonts w:hint="default" w:ascii="Times New Roman" w:hAnsi="Times New Roman" w:eastAsia="宋体" w:cs="Times New Roman"/>
                <w:b w:val="0"/>
                <w:color w:val="auto"/>
                <w:kern w:val="2"/>
                <w:sz w:val="24"/>
                <w:szCs w:val="28"/>
                <w:highlight w:val="none"/>
                <w:lang w:val="en-US" w:eastAsia="zh-CN" w:bidi="ar"/>
              </w:rPr>
              <w:t>执行《工业企业厂界噪声标准》（GB12348-2008）中</w:t>
            </w:r>
            <w:r>
              <w:rPr>
                <w:rFonts w:hint="eastAsia" w:ascii="Times New Roman" w:hAnsi="Times New Roman" w:eastAsia="宋体" w:cs="Times New Roman"/>
                <w:b w:val="0"/>
                <w:color w:val="auto"/>
                <w:kern w:val="2"/>
                <w:sz w:val="24"/>
                <w:szCs w:val="28"/>
                <w:highlight w:val="none"/>
                <w:lang w:val="en-US" w:eastAsia="zh-CN" w:bidi="ar"/>
              </w:rPr>
              <w:t>3类标准，具体标准限值如下表所示。</w:t>
            </w:r>
          </w:p>
          <w:p w14:paraId="5E5E6F7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黑体" w:hAnsi="黑体" w:eastAsia="黑体" w:cs="黑体"/>
                <w:b w:val="0"/>
                <w:bCs/>
                <w:color w:val="auto"/>
                <w:kern w:val="2"/>
                <w:sz w:val="21"/>
                <w:szCs w:val="24"/>
                <w:highlight w:val="none"/>
                <w:lang w:val="en-US" w:eastAsia="zh-CN" w:bidi="ar-SA"/>
              </w:rPr>
            </w:pPr>
            <w:r>
              <w:rPr>
                <w:rFonts w:hint="default" w:ascii="黑体" w:hAnsi="黑体" w:eastAsia="黑体" w:cs="黑体"/>
                <w:b w:val="0"/>
                <w:bCs/>
                <w:color w:val="auto"/>
                <w:kern w:val="2"/>
                <w:sz w:val="21"/>
                <w:szCs w:val="24"/>
                <w:highlight w:val="none"/>
                <w:lang w:val="en-US" w:eastAsia="zh-CN" w:bidi="ar-SA"/>
              </w:rPr>
              <w:t>表</w:t>
            </w:r>
            <w:r>
              <w:rPr>
                <w:rFonts w:hint="eastAsia" w:ascii="黑体" w:hAnsi="黑体" w:eastAsia="黑体" w:cs="黑体"/>
                <w:b w:val="0"/>
                <w:bCs/>
                <w:color w:val="auto"/>
                <w:kern w:val="2"/>
                <w:sz w:val="21"/>
                <w:szCs w:val="24"/>
                <w:highlight w:val="none"/>
                <w:lang w:val="en-US" w:eastAsia="zh-CN" w:bidi="ar-SA"/>
              </w:rPr>
              <w:t>3-8</w:t>
            </w:r>
            <w:r>
              <w:rPr>
                <w:rFonts w:hint="default" w:ascii="黑体" w:hAnsi="黑体" w:eastAsia="黑体" w:cs="黑体"/>
                <w:b w:val="0"/>
                <w:bCs/>
                <w:color w:val="auto"/>
                <w:kern w:val="2"/>
                <w:sz w:val="21"/>
                <w:szCs w:val="24"/>
                <w:highlight w:val="none"/>
                <w:lang w:val="en-US" w:eastAsia="zh-CN" w:bidi="ar-SA"/>
              </w:rPr>
              <w:t>工业企业厂界环境噪声排放限值</w:t>
            </w:r>
          </w:p>
          <w:tbl>
            <w:tblPr>
              <w:tblStyle w:val="24"/>
              <w:tblW w:w="782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2544"/>
              <w:gridCol w:w="1594"/>
              <w:gridCol w:w="1675"/>
            </w:tblGrid>
            <w:tr w14:paraId="1218A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51" w:type="dxa"/>
                  <w:tcBorders>
                    <w:tl2br w:val="nil"/>
                    <w:tr2bl w:val="nil"/>
                  </w:tcBorders>
                  <w:shd w:val="clear" w:color="auto" w:fill="auto"/>
                  <w:noWrap/>
                  <w:vAlign w:val="center"/>
                </w:tcPr>
                <w:p w14:paraId="53DD14AE">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厂区边界</w:t>
                  </w:r>
                </w:p>
              </w:tc>
              <w:tc>
                <w:tcPr>
                  <w:tcW w:w="2569" w:type="dxa"/>
                  <w:tcBorders>
                    <w:tl2br w:val="nil"/>
                    <w:tr2bl w:val="nil"/>
                  </w:tcBorders>
                  <w:shd w:val="clear" w:color="auto" w:fill="auto"/>
                  <w:noWrap/>
                  <w:vAlign w:val="center"/>
                </w:tcPr>
                <w:p w14:paraId="4940A8A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厂界外声环境功能区类别</w:t>
                  </w:r>
                </w:p>
              </w:tc>
              <w:tc>
                <w:tcPr>
                  <w:tcW w:w="1609" w:type="dxa"/>
                  <w:tcBorders>
                    <w:tl2br w:val="nil"/>
                    <w:tr2bl w:val="nil"/>
                  </w:tcBorders>
                  <w:shd w:val="clear" w:color="auto" w:fill="auto"/>
                  <w:noWrap/>
                  <w:vAlign w:val="center"/>
                </w:tcPr>
                <w:p w14:paraId="72D2DC9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r>
                    <w:rPr>
                      <w:rFonts w:hint="default" w:ascii="Times New Roman" w:hAnsi="Times New Roman" w:eastAsia="宋体" w:cs="Times New Roman"/>
                      <w:color w:val="auto"/>
                      <w:sz w:val="21"/>
                      <w:szCs w:val="21"/>
                      <w:highlight w:val="none"/>
                      <w:lang w:val="en-US" w:eastAsia="zh-CN"/>
                    </w:rPr>
                    <w:t>dB（A）</w:t>
                  </w:r>
                </w:p>
              </w:tc>
              <w:tc>
                <w:tcPr>
                  <w:tcW w:w="1691" w:type="dxa"/>
                  <w:tcBorders>
                    <w:tl2br w:val="nil"/>
                    <w:tr2bl w:val="nil"/>
                  </w:tcBorders>
                  <w:shd w:val="clear" w:color="auto" w:fill="auto"/>
                  <w:noWrap/>
                  <w:vAlign w:val="center"/>
                </w:tcPr>
                <w:p w14:paraId="31E01C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夜间</w:t>
                  </w:r>
                  <w:r>
                    <w:rPr>
                      <w:rFonts w:hint="default" w:ascii="Times New Roman" w:hAnsi="Times New Roman" w:eastAsia="宋体" w:cs="Times New Roman"/>
                      <w:color w:val="auto"/>
                      <w:sz w:val="21"/>
                      <w:szCs w:val="21"/>
                      <w:highlight w:val="none"/>
                      <w:lang w:val="en-US" w:eastAsia="zh-CN"/>
                    </w:rPr>
                    <w:t>dB（A）</w:t>
                  </w:r>
                </w:p>
              </w:tc>
            </w:tr>
            <w:tr w14:paraId="3F92F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951" w:type="dxa"/>
                  <w:tcBorders>
                    <w:tl2br w:val="nil"/>
                    <w:tr2bl w:val="nil"/>
                  </w:tcBorders>
                  <w:shd w:val="clear" w:color="auto" w:fill="auto"/>
                  <w:noWrap/>
                  <w:vAlign w:val="center"/>
                </w:tcPr>
                <w:p w14:paraId="2508B639">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东、南、西、北侧</w:t>
                  </w:r>
                </w:p>
              </w:tc>
              <w:tc>
                <w:tcPr>
                  <w:tcW w:w="2569" w:type="dxa"/>
                  <w:tcBorders>
                    <w:tl2br w:val="nil"/>
                    <w:tr2bl w:val="nil"/>
                  </w:tcBorders>
                  <w:shd w:val="clear" w:color="auto" w:fill="auto"/>
                  <w:noWrap/>
                  <w:vAlign w:val="center"/>
                </w:tcPr>
                <w:p w14:paraId="6853686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w:t>
                  </w:r>
                </w:p>
              </w:tc>
              <w:tc>
                <w:tcPr>
                  <w:tcW w:w="1609" w:type="dxa"/>
                  <w:tcBorders>
                    <w:tl2br w:val="nil"/>
                    <w:tr2bl w:val="nil"/>
                  </w:tcBorders>
                  <w:shd w:val="clear" w:color="auto" w:fill="auto"/>
                  <w:noWrap/>
                  <w:vAlign w:val="center"/>
                </w:tcPr>
                <w:p w14:paraId="06292CC9">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65</w:t>
                  </w:r>
                </w:p>
              </w:tc>
              <w:tc>
                <w:tcPr>
                  <w:tcW w:w="1691" w:type="dxa"/>
                  <w:tcBorders>
                    <w:tl2br w:val="nil"/>
                    <w:tr2bl w:val="nil"/>
                  </w:tcBorders>
                  <w:shd w:val="clear" w:color="auto" w:fill="auto"/>
                  <w:noWrap/>
                  <w:vAlign w:val="center"/>
                </w:tcPr>
                <w:p w14:paraId="2BF9BC78">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55</w:t>
                  </w:r>
                </w:p>
              </w:tc>
            </w:tr>
          </w:tbl>
          <w:p w14:paraId="5732187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b w:val="0"/>
                <w:color w:val="auto"/>
                <w:kern w:val="2"/>
                <w:sz w:val="24"/>
                <w:szCs w:val="28"/>
                <w:highlight w:val="none"/>
                <w:lang w:val="en-US" w:eastAsia="zh-CN" w:bidi="ar"/>
              </w:rPr>
            </w:pPr>
            <w:r>
              <w:rPr>
                <w:rFonts w:hint="eastAsia" w:ascii="Times New Roman" w:hAnsi="Times New Roman" w:eastAsia="宋体" w:cs="Times New Roman"/>
                <w:b w:val="0"/>
                <w:color w:val="auto"/>
                <w:kern w:val="2"/>
                <w:sz w:val="24"/>
                <w:szCs w:val="28"/>
                <w:highlight w:val="none"/>
                <w:lang w:val="en-US" w:eastAsia="zh-CN" w:bidi="ar"/>
              </w:rPr>
              <w:t>（3）废水</w:t>
            </w:r>
          </w:p>
          <w:p w14:paraId="2AE19FA0">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eastAsia="宋体" w:cs="Times New Roman"/>
                <w:b w:val="0"/>
                <w:color w:val="auto"/>
                <w:kern w:val="2"/>
                <w:sz w:val="24"/>
                <w:szCs w:val="28"/>
                <w:highlight w:val="none"/>
                <w:lang w:val="en-US" w:eastAsia="zh-CN" w:bidi="ar"/>
              </w:rPr>
            </w:pPr>
            <w:r>
              <w:rPr>
                <w:rFonts w:hint="eastAsia" w:ascii="Times New Roman" w:hAnsi="Times New Roman" w:eastAsia="宋体" w:cs="Times New Roman"/>
                <w:b w:val="0"/>
                <w:color w:val="auto"/>
                <w:kern w:val="2"/>
                <w:sz w:val="24"/>
                <w:szCs w:val="28"/>
                <w:highlight w:val="none"/>
                <w:lang w:val="en-US" w:eastAsia="zh-CN" w:bidi="ar"/>
              </w:rPr>
              <w:t>本项目生产过程中无生产废水产生。主要废水为员工生活污水，经厂区防渗化粪池处理后，经生活污水排放口排入城镇下水管网，最终进入城镇污水处理厂。</w:t>
            </w:r>
            <w:r>
              <w:rPr>
                <w:rFonts w:hint="default" w:ascii="Times New Roman" w:hAnsi="Times New Roman" w:eastAsia="宋体" w:cs="Times New Roman"/>
                <w:b w:val="0"/>
                <w:color w:val="auto"/>
                <w:kern w:val="2"/>
                <w:sz w:val="24"/>
                <w:szCs w:val="28"/>
                <w:highlight w:val="none"/>
                <w:lang w:val="en-US" w:eastAsia="zh-CN" w:bidi="ar"/>
              </w:rPr>
              <w:t>污水排放执行《辽宁省污水综合排放标准》（DB21/1627-2008）表2中排放标准，具体标准值如下表所示</w:t>
            </w:r>
            <w:r>
              <w:rPr>
                <w:rFonts w:hint="eastAsia" w:ascii="Times New Roman" w:hAnsi="Times New Roman" w:eastAsia="宋体" w:cs="Times New Roman"/>
                <w:b w:val="0"/>
                <w:color w:val="auto"/>
                <w:kern w:val="2"/>
                <w:sz w:val="24"/>
                <w:szCs w:val="28"/>
                <w:highlight w:val="none"/>
                <w:lang w:val="en-US" w:eastAsia="zh-CN" w:bidi="ar"/>
              </w:rPr>
              <w:t>。</w:t>
            </w:r>
          </w:p>
          <w:p w14:paraId="2579506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黑体" w:hAnsi="黑体" w:eastAsia="黑体" w:cs="黑体"/>
                <w:b w:val="0"/>
                <w:bCs/>
                <w:color w:val="auto"/>
                <w:kern w:val="2"/>
                <w:sz w:val="21"/>
                <w:szCs w:val="24"/>
                <w:highlight w:val="none"/>
                <w:lang w:val="en-US" w:eastAsia="zh-CN" w:bidi="ar-SA"/>
              </w:rPr>
            </w:pPr>
          </w:p>
          <w:p w14:paraId="2A9C793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黑体" w:hAnsi="黑体" w:eastAsia="黑体" w:cs="黑体"/>
                <w:b w:val="0"/>
                <w:bCs/>
                <w:color w:val="auto"/>
                <w:kern w:val="2"/>
                <w:sz w:val="21"/>
                <w:szCs w:val="24"/>
                <w:highlight w:val="none"/>
                <w:lang w:val="en-US" w:eastAsia="zh-CN" w:bidi="ar-SA"/>
              </w:rPr>
            </w:pPr>
          </w:p>
          <w:p w14:paraId="1DB2F79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黑体" w:hAnsi="黑体" w:eastAsia="黑体" w:cs="黑体"/>
                <w:b w:val="0"/>
                <w:bCs/>
                <w:color w:val="auto"/>
                <w:kern w:val="2"/>
                <w:sz w:val="21"/>
                <w:szCs w:val="24"/>
                <w:highlight w:val="none"/>
                <w:lang w:val="en-US" w:eastAsia="zh-CN" w:bidi="ar-SA"/>
              </w:rPr>
            </w:pPr>
            <w:r>
              <w:rPr>
                <w:rFonts w:hint="eastAsia" w:ascii="黑体" w:hAnsi="黑体" w:eastAsia="黑体" w:cs="黑体"/>
                <w:b w:val="0"/>
                <w:bCs/>
                <w:color w:val="auto"/>
                <w:kern w:val="2"/>
                <w:sz w:val="21"/>
                <w:szCs w:val="24"/>
                <w:highlight w:val="none"/>
                <w:lang w:val="en-US" w:eastAsia="zh-CN" w:bidi="ar-SA"/>
              </w:rPr>
              <w:t>表3-9排入城镇污水处理厂的水污染物最高允许排放浓度</w:t>
            </w:r>
          </w:p>
          <w:tbl>
            <w:tblPr>
              <w:tblStyle w:val="24"/>
              <w:tblW w:w="797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147"/>
              <w:gridCol w:w="2594"/>
              <w:gridCol w:w="3246"/>
            </w:tblGrid>
            <w:tr w14:paraId="40DF05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984" w:type="dxa"/>
                  <w:tcBorders>
                    <w:tl2br w:val="nil"/>
                    <w:tr2bl w:val="nil"/>
                  </w:tcBorders>
                  <w:noWrap w:val="0"/>
                  <w:vAlign w:val="center"/>
                </w:tcPr>
                <w:p w14:paraId="4DA9D64A">
                  <w:pPr>
                    <w:spacing w:line="240" w:lineRule="auto"/>
                    <w:jc w:val="center"/>
                    <w:rPr>
                      <w:rFonts w:hint="default" w:ascii="Times New Roman" w:hAnsi="Times New Roman" w:eastAsia="宋体" w:cs="Times New Roman"/>
                      <w:b w:val="0"/>
                      <w:bCs w:val="0"/>
                      <w:color w:val="auto"/>
                      <w:sz w:val="21"/>
                      <w:szCs w:val="21"/>
                      <w:highlight w:val="none"/>
                      <w:lang w:val="zh-CN"/>
                    </w:rPr>
                  </w:pPr>
                  <w:r>
                    <w:rPr>
                      <w:rFonts w:hint="default" w:ascii="Times New Roman" w:hAnsi="Times New Roman" w:eastAsia="宋体" w:cs="Times New Roman"/>
                      <w:b w:val="0"/>
                      <w:bCs w:val="0"/>
                      <w:color w:val="auto"/>
                      <w:sz w:val="21"/>
                      <w:szCs w:val="21"/>
                      <w:highlight w:val="none"/>
                      <w:lang w:val="zh-CN"/>
                    </w:rPr>
                    <w:t>序号</w:t>
                  </w:r>
                </w:p>
              </w:tc>
              <w:tc>
                <w:tcPr>
                  <w:tcW w:w="1147" w:type="dxa"/>
                  <w:tcBorders>
                    <w:tl2br w:val="nil"/>
                    <w:tr2bl w:val="nil"/>
                  </w:tcBorders>
                  <w:noWrap w:val="0"/>
                  <w:vAlign w:val="center"/>
                </w:tcPr>
                <w:p w14:paraId="2E0B0ADC">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w:t>
                  </w:r>
                </w:p>
              </w:tc>
              <w:tc>
                <w:tcPr>
                  <w:tcW w:w="2594" w:type="dxa"/>
                  <w:tcBorders>
                    <w:tl2br w:val="nil"/>
                    <w:tr2bl w:val="nil"/>
                  </w:tcBorders>
                  <w:noWrap w:val="0"/>
                  <w:vAlign w:val="center"/>
                </w:tcPr>
                <w:p w14:paraId="0703886D">
                  <w:pPr>
                    <w:spacing w:line="240" w:lineRule="auto"/>
                    <w:jc w:val="center"/>
                    <w:rPr>
                      <w:rFonts w:hint="default" w:ascii="Times New Roman" w:hAnsi="Times New Roman" w:eastAsia="宋体" w:cs="Times New Roman"/>
                      <w:b w:val="0"/>
                      <w:bCs w:val="0"/>
                      <w:color w:val="auto"/>
                      <w:sz w:val="21"/>
                      <w:szCs w:val="21"/>
                      <w:highlight w:val="none"/>
                      <w:lang w:val="zh-CN"/>
                    </w:rPr>
                  </w:pPr>
                  <w:r>
                    <w:rPr>
                      <w:rFonts w:hint="default" w:ascii="Times New Roman" w:hAnsi="Times New Roman" w:eastAsia="宋体" w:cs="Times New Roman"/>
                      <w:b w:val="0"/>
                      <w:bCs w:val="0"/>
                      <w:color w:val="auto"/>
                      <w:sz w:val="21"/>
                      <w:szCs w:val="21"/>
                      <w:highlight w:val="none"/>
                    </w:rPr>
                    <w:t>最高允许排放浓度mg/L</w:t>
                  </w:r>
                </w:p>
              </w:tc>
              <w:tc>
                <w:tcPr>
                  <w:tcW w:w="3246" w:type="dxa"/>
                  <w:tcBorders>
                    <w:tl2br w:val="nil"/>
                    <w:tr2bl w:val="nil"/>
                  </w:tcBorders>
                  <w:noWrap w:val="0"/>
                  <w:vAlign w:val="center"/>
                </w:tcPr>
                <w:p w14:paraId="2EE56C07">
                  <w:pPr>
                    <w:spacing w:line="240" w:lineRule="auto"/>
                    <w:jc w:val="center"/>
                    <w:rPr>
                      <w:rFonts w:hint="default" w:ascii="Times New Roman" w:hAnsi="Times New Roman" w:eastAsia="宋体" w:cs="Times New Roman"/>
                      <w:b w:val="0"/>
                      <w:bCs w:val="0"/>
                      <w:color w:val="auto"/>
                      <w:sz w:val="21"/>
                      <w:szCs w:val="21"/>
                      <w:highlight w:val="none"/>
                      <w:lang w:val="zh-CN"/>
                    </w:rPr>
                  </w:pPr>
                  <w:r>
                    <w:rPr>
                      <w:rFonts w:hint="default" w:ascii="Times New Roman" w:hAnsi="Times New Roman" w:eastAsia="宋体" w:cs="Times New Roman"/>
                      <w:b w:val="0"/>
                      <w:bCs w:val="0"/>
                      <w:color w:val="auto"/>
                      <w:sz w:val="21"/>
                      <w:szCs w:val="21"/>
                      <w:highlight w:val="none"/>
                    </w:rPr>
                    <w:t>标准来源</w:t>
                  </w:r>
                </w:p>
              </w:tc>
            </w:tr>
            <w:tr w14:paraId="5CF4F4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984" w:type="dxa"/>
                  <w:tcBorders>
                    <w:tl2br w:val="nil"/>
                    <w:tr2bl w:val="nil"/>
                  </w:tcBorders>
                  <w:noWrap w:val="0"/>
                  <w:vAlign w:val="center"/>
                </w:tcPr>
                <w:p w14:paraId="65566EA4">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147" w:type="dxa"/>
                  <w:tcBorders>
                    <w:tl2br w:val="nil"/>
                    <w:tr2bl w:val="nil"/>
                  </w:tcBorders>
                  <w:noWrap w:val="0"/>
                  <w:vAlign w:val="center"/>
                </w:tcPr>
                <w:p w14:paraId="0F9CF6AD">
                  <w:pPr>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lang w:eastAsia="zh-CN"/>
                    </w:rPr>
                    <w:t>BOD</w:t>
                  </w:r>
                  <w:r>
                    <w:rPr>
                      <w:rFonts w:hint="default" w:ascii="Times New Roman" w:hAnsi="Times New Roman" w:eastAsia="宋体" w:cs="Times New Roman"/>
                      <w:b w:val="0"/>
                      <w:bCs w:val="0"/>
                      <w:color w:val="auto"/>
                      <w:sz w:val="21"/>
                      <w:szCs w:val="21"/>
                      <w:highlight w:val="none"/>
                      <w:vertAlign w:val="subscript"/>
                      <w:lang w:eastAsia="zh-CN"/>
                    </w:rPr>
                    <w:t>5</w:t>
                  </w:r>
                </w:p>
              </w:tc>
              <w:tc>
                <w:tcPr>
                  <w:tcW w:w="2594" w:type="dxa"/>
                  <w:tcBorders>
                    <w:tl2br w:val="nil"/>
                    <w:tr2bl w:val="nil"/>
                  </w:tcBorders>
                  <w:noWrap w:val="0"/>
                  <w:vAlign w:val="center"/>
                </w:tcPr>
                <w:p w14:paraId="69255B5D">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250</w:t>
                  </w:r>
                </w:p>
              </w:tc>
              <w:tc>
                <w:tcPr>
                  <w:tcW w:w="3246" w:type="dxa"/>
                  <w:vMerge w:val="restart"/>
                  <w:tcBorders>
                    <w:tl2br w:val="nil"/>
                    <w:tr2bl w:val="nil"/>
                  </w:tcBorders>
                  <w:noWrap w:val="0"/>
                  <w:vAlign w:val="center"/>
                </w:tcPr>
                <w:p w14:paraId="6BBEDBBE">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《辽宁省污水综合排放标准》（DB21/1627-2008）</w:t>
                  </w:r>
                </w:p>
              </w:tc>
            </w:tr>
            <w:tr w14:paraId="4F60E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4" w:type="dxa"/>
                  <w:tcBorders>
                    <w:tl2br w:val="nil"/>
                    <w:tr2bl w:val="nil"/>
                  </w:tcBorders>
                  <w:noWrap w:val="0"/>
                  <w:vAlign w:val="center"/>
                </w:tcPr>
                <w:p w14:paraId="58E06652">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1147" w:type="dxa"/>
                  <w:tcBorders>
                    <w:tl2br w:val="nil"/>
                    <w:tr2bl w:val="nil"/>
                  </w:tcBorders>
                  <w:noWrap w:val="0"/>
                  <w:vAlign w:val="center"/>
                </w:tcPr>
                <w:p w14:paraId="183FB99D">
                  <w:pPr>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COD</w:t>
                  </w:r>
                </w:p>
              </w:tc>
              <w:tc>
                <w:tcPr>
                  <w:tcW w:w="2594" w:type="dxa"/>
                  <w:tcBorders>
                    <w:tl2br w:val="nil"/>
                    <w:tr2bl w:val="nil"/>
                  </w:tcBorders>
                  <w:noWrap w:val="0"/>
                  <w:vAlign w:val="center"/>
                </w:tcPr>
                <w:p w14:paraId="1FB7A256">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300</w:t>
                  </w:r>
                </w:p>
              </w:tc>
              <w:tc>
                <w:tcPr>
                  <w:tcW w:w="3246" w:type="dxa"/>
                  <w:vMerge w:val="continue"/>
                  <w:tcBorders>
                    <w:tl2br w:val="nil"/>
                    <w:tr2bl w:val="nil"/>
                  </w:tcBorders>
                  <w:noWrap w:val="0"/>
                  <w:vAlign w:val="center"/>
                </w:tcPr>
                <w:p w14:paraId="67ABCE44">
                  <w:pPr>
                    <w:spacing w:line="240" w:lineRule="auto"/>
                    <w:jc w:val="center"/>
                    <w:rPr>
                      <w:rFonts w:hint="default" w:ascii="Times New Roman" w:hAnsi="Times New Roman" w:eastAsia="宋体" w:cs="Times New Roman"/>
                      <w:b w:val="0"/>
                      <w:bCs w:val="0"/>
                      <w:color w:val="auto"/>
                      <w:sz w:val="21"/>
                      <w:szCs w:val="21"/>
                      <w:highlight w:val="none"/>
                    </w:rPr>
                  </w:pPr>
                </w:p>
              </w:tc>
            </w:tr>
            <w:tr w14:paraId="62435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4" w:type="dxa"/>
                  <w:tcBorders>
                    <w:tl2br w:val="nil"/>
                    <w:tr2bl w:val="nil"/>
                  </w:tcBorders>
                  <w:noWrap w:val="0"/>
                  <w:vAlign w:val="center"/>
                </w:tcPr>
                <w:p w14:paraId="0B6A753C">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1147" w:type="dxa"/>
                  <w:tcBorders>
                    <w:tl2br w:val="nil"/>
                    <w:tr2bl w:val="nil"/>
                  </w:tcBorders>
                  <w:noWrap w:val="0"/>
                  <w:vAlign w:val="center"/>
                </w:tcPr>
                <w:p w14:paraId="1E834CCE">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SS</w:t>
                  </w:r>
                </w:p>
              </w:tc>
              <w:tc>
                <w:tcPr>
                  <w:tcW w:w="2594" w:type="dxa"/>
                  <w:tcBorders>
                    <w:tl2br w:val="nil"/>
                    <w:tr2bl w:val="nil"/>
                  </w:tcBorders>
                  <w:noWrap w:val="0"/>
                  <w:vAlign w:val="center"/>
                </w:tcPr>
                <w:p w14:paraId="110EC833">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300</w:t>
                  </w:r>
                </w:p>
              </w:tc>
              <w:tc>
                <w:tcPr>
                  <w:tcW w:w="3246" w:type="dxa"/>
                  <w:vMerge w:val="continue"/>
                  <w:tcBorders>
                    <w:tl2br w:val="nil"/>
                    <w:tr2bl w:val="nil"/>
                  </w:tcBorders>
                  <w:noWrap w:val="0"/>
                  <w:vAlign w:val="center"/>
                </w:tcPr>
                <w:p w14:paraId="0BAE7D73">
                  <w:pPr>
                    <w:spacing w:line="240" w:lineRule="auto"/>
                    <w:jc w:val="center"/>
                    <w:rPr>
                      <w:rFonts w:hint="default" w:ascii="Times New Roman" w:hAnsi="Times New Roman" w:eastAsia="宋体" w:cs="Times New Roman"/>
                      <w:b w:val="0"/>
                      <w:bCs w:val="0"/>
                      <w:color w:val="auto"/>
                      <w:sz w:val="21"/>
                      <w:szCs w:val="21"/>
                      <w:highlight w:val="none"/>
                    </w:rPr>
                  </w:pPr>
                </w:p>
              </w:tc>
            </w:tr>
            <w:tr w14:paraId="57758F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84" w:type="dxa"/>
                  <w:tcBorders>
                    <w:tl2br w:val="nil"/>
                    <w:tr2bl w:val="nil"/>
                  </w:tcBorders>
                  <w:noWrap w:val="0"/>
                  <w:vAlign w:val="center"/>
                </w:tcPr>
                <w:p w14:paraId="5F58C198">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c>
                <w:tcPr>
                  <w:tcW w:w="1147" w:type="dxa"/>
                  <w:tcBorders>
                    <w:tl2br w:val="nil"/>
                    <w:tr2bl w:val="nil"/>
                  </w:tcBorders>
                  <w:noWrap w:val="0"/>
                  <w:vAlign w:val="center"/>
                </w:tcPr>
                <w:p w14:paraId="44D23F4B">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zh-CN"/>
                    </w:rPr>
                    <w:t>氨氮</w:t>
                  </w:r>
                </w:p>
              </w:tc>
              <w:tc>
                <w:tcPr>
                  <w:tcW w:w="2594" w:type="dxa"/>
                  <w:tcBorders>
                    <w:tl2br w:val="nil"/>
                    <w:tr2bl w:val="nil"/>
                  </w:tcBorders>
                  <w:noWrap w:val="0"/>
                  <w:vAlign w:val="center"/>
                </w:tcPr>
                <w:p w14:paraId="2FCFC6D4">
                  <w:pPr>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30</w:t>
                  </w:r>
                </w:p>
              </w:tc>
              <w:tc>
                <w:tcPr>
                  <w:tcW w:w="3246" w:type="dxa"/>
                  <w:vMerge w:val="continue"/>
                  <w:tcBorders>
                    <w:tl2br w:val="nil"/>
                    <w:tr2bl w:val="nil"/>
                  </w:tcBorders>
                  <w:noWrap w:val="0"/>
                  <w:vAlign w:val="center"/>
                </w:tcPr>
                <w:p w14:paraId="63E40486">
                  <w:pPr>
                    <w:spacing w:line="240" w:lineRule="auto"/>
                    <w:jc w:val="center"/>
                    <w:rPr>
                      <w:rFonts w:hint="default" w:ascii="Times New Roman" w:hAnsi="Times New Roman" w:eastAsia="宋体" w:cs="Times New Roman"/>
                      <w:b w:val="0"/>
                      <w:bCs w:val="0"/>
                      <w:color w:val="auto"/>
                      <w:sz w:val="21"/>
                      <w:szCs w:val="21"/>
                      <w:highlight w:val="none"/>
                    </w:rPr>
                  </w:pPr>
                </w:p>
              </w:tc>
            </w:tr>
            <w:tr w14:paraId="0E9D33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84" w:type="dxa"/>
                  <w:tcBorders>
                    <w:tl2br w:val="nil"/>
                    <w:tr2bl w:val="nil"/>
                  </w:tcBorders>
                  <w:noWrap w:val="0"/>
                  <w:vAlign w:val="center"/>
                </w:tcPr>
                <w:p w14:paraId="12A46620">
                  <w:pPr>
                    <w:spacing w:line="240" w:lineRule="auto"/>
                    <w:jc w:val="center"/>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5</w:t>
                  </w:r>
                </w:p>
              </w:tc>
              <w:tc>
                <w:tcPr>
                  <w:tcW w:w="1147" w:type="dxa"/>
                  <w:tcBorders>
                    <w:tl2br w:val="nil"/>
                    <w:tr2bl w:val="nil"/>
                  </w:tcBorders>
                  <w:noWrap w:val="0"/>
                  <w:vAlign w:val="center"/>
                </w:tcPr>
                <w:p w14:paraId="32CA7F6A">
                  <w:pPr>
                    <w:spacing w:line="240" w:lineRule="auto"/>
                    <w:jc w:val="center"/>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TP</w:t>
                  </w:r>
                </w:p>
              </w:tc>
              <w:tc>
                <w:tcPr>
                  <w:tcW w:w="2594" w:type="dxa"/>
                  <w:tcBorders>
                    <w:tl2br w:val="nil"/>
                    <w:tr2bl w:val="nil"/>
                  </w:tcBorders>
                  <w:noWrap w:val="0"/>
                  <w:vAlign w:val="center"/>
                </w:tcPr>
                <w:p w14:paraId="2078A3B1">
                  <w:pPr>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5.0</w:t>
                  </w:r>
                </w:p>
              </w:tc>
              <w:tc>
                <w:tcPr>
                  <w:tcW w:w="3246" w:type="dxa"/>
                  <w:vMerge w:val="continue"/>
                  <w:tcBorders>
                    <w:tl2br w:val="nil"/>
                    <w:tr2bl w:val="nil"/>
                  </w:tcBorders>
                  <w:noWrap w:val="0"/>
                  <w:vAlign w:val="center"/>
                </w:tcPr>
                <w:p w14:paraId="59268159">
                  <w:pPr>
                    <w:spacing w:line="240" w:lineRule="auto"/>
                    <w:jc w:val="center"/>
                    <w:rPr>
                      <w:rFonts w:hint="default" w:ascii="Times New Roman" w:hAnsi="Times New Roman" w:eastAsia="宋体" w:cs="Times New Roman"/>
                      <w:b w:val="0"/>
                      <w:bCs w:val="0"/>
                      <w:color w:val="auto"/>
                      <w:sz w:val="21"/>
                      <w:szCs w:val="21"/>
                      <w:highlight w:val="none"/>
                    </w:rPr>
                  </w:pPr>
                </w:p>
              </w:tc>
            </w:tr>
          </w:tbl>
          <w:p w14:paraId="3D9D3D6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kern w:val="2"/>
                <w:sz w:val="24"/>
                <w:szCs w:val="28"/>
                <w:highlight w:val="none"/>
                <w:lang w:val="en-US" w:eastAsia="zh-CN" w:bidi="ar"/>
              </w:rPr>
            </w:pPr>
            <w:r>
              <w:rPr>
                <w:rFonts w:hint="eastAsia" w:cs="Times New Roman"/>
                <w:color w:val="auto"/>
                <w:kern w:val="2"/>
                <w:sz w:val="24"/>
                <w:szCs w:val="28"/>
                <w:highlight w:val="none"/>
                <w:lang w:val="en-US" w:eastAsia="zh-CN" w:bidi="ar"/>
              </w:rPr>
              <w:t>（4）</w:t>
            </w:r>
            <w:r>
              <w:rPr>
                <w:rFonts w:hint="default" w:ascii="Times New Roman" w:hAnsi="Times New Roman" w:eastAsia="宋体" w:cs="Times New Roman"/>
                <w:color w:val="auto"/>
                <w:kern w:val="2"/>
                <w:sz w:val="24"/>
                <w:szCs w:val="28"/>
                <w:highlight w:val="none"/>
                <w:lang w:val="en-US" w:eastAsia="zh-CN" w:bidi="ar"/>
              </w:rPr>
              <w:t>固体废物</w:t>
            </w:r>
          </w:p>
          <w:p w14:paraId="44AFB804">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ind w:right="0" w:firstLine="480" w:firstLineChars="200"/>
              <w:jc w:val="both"/>
              <w:textAlignment w:val="auto"/>
              <w:rPr>
                <w:rFonts w:hint="eastAsia" w:ascii="黑体" w:hAnsi="黑体" w:eastAsia="黑体"/>
                <w:snapToGrid w:val="0"/>
                <w:color w:val="auto"/>
                <w:sz w:val="30"/>
                <w:szCs w:val="30"/>
                <w:highlight w:val="none"/>
                <w:vertAlign w:val="baseline"/>
              </w:rPr>
            </w:pPr>
            <w:r>
              <w:rPr>
                <w:rFonts w:hint="default" w:ascii="Times New Roman" w:hAnsi="Times New Roman" w:eastAsia="宋体" w:cs="Times New Roman"/>
                <w:color w:val="auto"/>
                <w:kern w:val="2"/>
                <w:sz w:val="24"/>
                <w:szCs w:val="28"/>
                <w:highlight w:val="none"/>
                <w:lang w:val="en-US" w:eastAsia="zh-CN" w:bidi="ar"/>
              </w:rPr>
              <w:t>一般工业固体废物执行《一般工业固体废物贮存和填埋污染控制标准》</w:t>
            </w:r>
            <w:r>
              <w:rPr>
                <w:rFonts w:hint="eastAsia" w:ascii="Times New Roman" w:hAnsi="Times New Roman" w:eastAsia="宋体" w:cs="Times New Roman"/>
                <w:color w:val="auto"/>
                <w:kern w:val="2"/>
                <w:sz w:val="24"/>
                <w:szCs w:val="28"/>
                <w:highlight w:val="none"/>
                <w:lang w:val="en-US" w:eastAsia="zh-CN" w:bidi="ar"/>
              </w:rPr>
              <w:t>（</w:t>
            </w:r>
            <w:r>
              <w:rPr>
                <w:rFonts w:hint="default" w:ascii="Times New Roman" w:hAnsi="Times New Roman" w:eastAsia="宋体" w:cs="Times New Roman"/>
                <w:color w:val="auto"/>
                <w:kern w:val="2"/>
                <w:sz w:val="24"/>
                <w:szCs w:val="28"/>
                <w:highlight w:val="none"/>
                <w:lang w:val="en-US" w:eastAsia="zh-CN" w:bidi="ar"/>
              </w:rPr>
              <w:t>GB18599-2020</w:t>
            </w:r>
            <w:r>
              <w:rPr>
                <w:rFonts w:hint="eastAsia" w:ascii="Times New Roman" w:hAnsi="Times New Roman" w:eastAsia="宋体" w:cs="Times New Roman"/>
                <w:color w:val="auto"/>
                <w:kern w:val="2"/>
                <w:sz w:val="24"/>
                <w:szCs w:val="28"/>
                <w:highlight w:val="none"/>
                <w:lang w:val="en-US" w:eastAsia="zh-CN" w:bidi="ar"/>
              </w:rPr>
              <w:t>）</w:t>
            </w:r>
            <w:r>
              <w:rPr>
                <w:rFonts w:hint="default" w:ascii="Times New Roman" w:hAnsi="Times New Roman" w:eastAsia="宋体" w:cs="Times New Roman"/>
                <w:color w:val="auto"/>
                <w:kern w:val="2"/>
                <w:sz w:val="24"/>
                <w:szCs w:val="28"/>
                <w:highlight w:val="none"/>
                <w:lang w:val="en-US" w:eastAsia="zh-CN" w:bidi="ar"/>
              </w:rPr>
              <w:t>；生活垃圾执行中华人民共和国建设部令第157号《城市生活垃圾管理规定》；危险废物执行危险废物贮存执行《危险废物贮存污染控制标准》（GB18597-2023）、《危险废物识别标志设置技术规范》（HJ1276-2022）中相关要求。</w:t>
            </w:r>
          </w:p>
        </w:tc>
      </w:tr>
      <w:tr w14:paraId="530E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14:paraId="035CB5BE">
            <w:pPr>
              <w:adjustRightInd w:val="0"/>
              <w:snapToGrid w:val="0"/>
              <w:spacing w:line="24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总量控制指标</w:t>
            </w:r>
          </w:p>
        </w:tc>
        <w:tc>
          <w:tcPr>
            <w:tcW w:w="7962" w:type="dxa"/>
          </w:tcPr>
          <w:p w14:paraId="79B127B5">
            <w:pPr>
              <w:pStyle w:val="31"/>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根据中华人民共和国生态环境部办公厅关于印发《“十五五”污染减排工作方案编制技术指南》的通知（环办综合函[2025]184号）中二、目标设定及重点工程任务(一)目标设定1.减排因子与范围：主要大气污染物</w:t>
            </w:r>
            <w:r>
              <w:rPr>
                <w:rFonts w:hint="eastAsia"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全国层面对氮氧化物(NOx)和挥发性有机物(VOCs)实施排放总量控制；主要水污染物</w:t>
            </w:r>
            <w:r>
              <w:rPr>
                <w:rFonts w:hint="eastAsia"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全国层面对COD和总磷实施排放总量控制。</w:t>
            </w:r>
          </w:p>
          <w:p w14:paraId="0EEA7D02">
            <w:pPr>
              <w:pStyle w:val="31"/>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结合《建设项目主要污染物排放总量指标审核及管理暂行办法》（环发[2014]197号）、《辽宁省环境保护厅关于贯彻执行环保部建设项目主要污染物排放总量指标审核及管理暂行办法的通知》（辽宁省环境保护厅，辽环发[2015]17号）及本项目的特点，并结合项目污染物排放及周围环境状况确定本项目评价中确定本项目总量控制因子。</w:t>
            </w:r>
          </w:p>
          <w:p w14:paraId="791AC293">
            <w:pPr>
              <w:pStyle w:val="31"/>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1.废水总量</w:t>
            </w:r>
          </w:p>
          <w:p w14:paraId="6B61573D">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highlight w:val="none"/>
                <w:lang w:val="zh-CN" w:eastAsia="zh-CN"/>
              </w:rPr>
              <w:t>本项目</w:t>
            </w:r>
            <w:r>
              <w:rPr>
                <w:rFonts w:hint="default" w:ascii="Times New Roman" w:hAnsi="Times New Roman" w:eastAsia="宋体" w:cs="Times New Roman"/>
                <w:color w:val="auto"/>
                <w:sz w:val="24"/>
                <w:szCs w:val="24"/>
                <w:highlight w:val="none"/>
                <w:lang w:val="en-US" w:eastAsia="zh-CN"/>
              </w:rPr>
              <w:t>无生产废水排放</w:t>
            </w:r>
            <w:r>
              <w:rPr>
                <w:rFonts w:hint="default" w:ascii="Times New Roman" w:hAnsi="Times New Roman" w:eastAsia="宋体" w:cs="Times New Roman"/>
                <w:color w:val="auto"/>
                <w:sz w:val="24"/>
                <w:szCs w:val="24"/>
                <w:highlight w:val="none"/>
                <w:lang w:val="zh-CN" w:eastAsia="zh-CN"/>
              </w:rPr>
              <w:t>，</w:t>
            </w:r>
            <w:r>
              <w:rPr>
                <w:rFonts w:hint="default" w:ascii="Times New Roman" w:hAnsi="Times New Roman" w:eastAsia="宋体" w:cs="Times New Roman"/>
                <w:color w:val="auto"/>
                <w:sz w:val="24"/>
                <w:szCs w:val="24"/>
                <w:highlight w:val="none"/>
                <w:lang w:val="en-US" w:eastAsia="zh-CN"/>
              </w:rPr>
              <w:t>本项目生活污水排放量为</w:t>
            </w:r>
            <w:r>
              <w:rPr>
                <w:rFonts w:hint="eastAsia" w:ascii="Times New Roman" w:hAnsi="Times New Roman" w:cs="Times New Roman"/>
                <w:b w:val="0"/>
                <w:bCs w:val="0"/>
                <w:color w:val="auto"/>
                <w:sz w:val="24"/>
                <w:szCs w:val="24"/>
                <w:highlight w:val="none"/>
                <w:lang w:val="en-US" w:eastAsia="zh-CN"/>
              </w:rPr>
              <w:t>298.3</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生活污水经厂区防渗化粪池处理后，由市政下水管网排入</w:t>
            </w:r>
            <w:r>
              <w:rPr>
                <w:rFonts w:hint="eastAsia" w:ascii="Times New Roman" w:hAnsi="Times New Roman" w:eastAsia="宋体" w:cs="Times New Roman"/>
                <w:color w:val="auto"/>
                <w:sz w:val="24"/>
                <w:szCs w:val="24"/>
                <w:highlight w:val="none"/>
                <w:lang w:val="en-US" w:eastAsia="zh-CN"/>
              </w:rPr>
              <w:t>城镇污水处理厂</w:t>
            </w:r>
            <w:r>
              <w:rPr>
                <w:rFonts w:hint="default"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环评</w:t>
            </w:r>
            <w:r>
              <w:rPr>
                <w:rFonts w:hint="default" w:ascii="Times New Roman" w:hAnsi="Times New Roman" w:cs="Times New Roman"/>
                <w:color w:val="auto"/>
                <w:sz w:val="24"/>
                <w:szCs w:val="24"/>
                <w:lang w:val="en-US" w:eastAsia="zh-CN"/>
              </w:rPr>
              <w:t>以污水处理厂出口污染物排放量作为本项目水污染物总量指标，该污水处理厂出口水质指标满足《城镇污水处理厂污染物排放标准》（GB18918-2002</w:t>
            </w:r>
            <w:r>
              <w:rPr>
                <w:rFonts w:hint="eastAsia" w:cs="Times New Roman"/>
                <w:color w:val="auto"/>
                <w:sz w:val="24"/>
                <w:szCs w:val="24"/>
                <w:lang w:val="en-US" w:eastAsia="zh-CN"/>
              </w:rPr>
              <w:t>含2006年、2025年修改单</w:t>
            </w:r>
            <w:r>
              <w:rPr>
                <w:rFonts w:hint="default" w:ascii="Times New Roman" w:hAnsi="Times New Roman" w:cs="Times New Roman"/>
                <w:color w:val="auto"/>
                <w:sz w:val="24"/>
                <w:szCs w:val="24"/>
                <w:lang w:val="en-US" w:eastAsia="zh-CN"/>
              </w:rPr>
              <w:t>）一级A标准，COD：50mg/L、</w:t>
            </w:r>
            <w:r>
              <w:rPr>
                <w:rFonts w:hint="eastAsia" w:cs="Times New Roman"/>
                <w:color w:val="auto"/>
                <w:sz w:val="24"/>
                <w:szCs w:val="24"/>
                <w:lang w:val="en-US" w:eastAsia="zh-CN"/>
              </w:rPr>
              <w:t>TP</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0.</w:t>
            </w:r>
            <w:r>
              <w:rPr>
                <w:rFonts w:hint="default" w:ascii="Times New Roman" w:hAnsi="Times New Roman" w:cs="Times New Roman"/>
                <w:color w:val="auto"/>
                <w:sz w:val="24"/>
                <w:szCs w:val="24"/>
                <w:lang w:val="en-US" w:eastAsia="zh-CN"/>
              </w:rPr>
              <w:t>5mg/L，本项目废水总量控制指标计算如下：</w:t>
            </w:r>
          </w:p>
          <w:p w14:paraId="2D93BD5B">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Q</w:t>
            </w:r>
            <w:r>
              <w:rPr>
                <w:rFonts w:hint="eastAsia" w:ascii="Times New Roman" w:hAnsi="Times New Roman" w:eastAsia="宋体" w:cs="Times New Roman"/>
                <w:color w:val="auto"/>
                <w:sz w:val="24"/>
                <w:vertAlign w:val="subscript"/>
                <w:lang w:val="en-US" w:eastAsia="zh-CN"/>
              </w:rPr>
              <w:t>COD</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污水排放总量</w:t>
            </w:r>
            <w:r>
              <w:rPr>
                <w:rFonts w:hint="default" w:ascii="Times New Roman" w:hAnsi="Times New Roman" w:eastAsia="宋体" w:cs="Times New Roman"/>
                <w:color w:val="auto"/>
                <w:sz w:val="24"/>
              </w:rPr>
              <w:t>×C</w:t>
            </w:r>
            <w:r>
              <w:rPr>
                <w:rFonts w:hint="eastAsia" w:ascii="Times New Roman" w:hAnsi="Times New Roman" w:eastAsia="宋体" w:cs="Times New Roman"/>
                <w:color w:val="auto"/>
                <w:sz w:val="24"/>
                <w:vertAlign w:val="subscript"/>
                <w:lang w:val="en-US" w:eastAsia="zh-CN"/>
              </w:rPr>
              <w:t>COD</w:t>
            </w:r>
            <w:r>
              <w:rPr>
                <w:rFonts w:hint="default" w:ascii="Times New Roman" w:hAnsi="Times New Roman" w:eastAsia="宋体" w:cs="Times New Roman"/>
                <w:color w:val="auto"/>
                <w:sz w:val="24"/>
              </w:rPr>
              <w:t>×10</w:t>
            </w:r>
            <w:r>
              <w:rPr>
                <w:rFonts w:hint="default" w:ascii="Times New Roman" w:hAnsi="Times New Roman" w:eastAsia="宋体" w:cs="Times New Roman"/>
                <w:color w:val="auto"/>
                <w:sz w:val="24"/>
                <w:vertAlign w:val="superscript"/>
              </w:rPr>
              <w:t>-6</w:t>
            </w:r>
            <w:r>
              <w:rPr>
                <w:rFonts w:hint="default" w:ascii="Times New Roman" w:hAnsi="Times New Roman" w:eastAsia="宋体" w:cs="Times New Roman"/>
                <w:color w:val="auto"/>
                <w:sz w:val="24"/>
              </w:rPr>
              <w:t>=</w:t>
            </w:r>
            <w:r>
              <w:rPr>
                <w:rFonts w:hint="eastAsia" w:ascii="Times New Roman" w:hAnsi="Times New Roman" w:cs="Times New Roman"/>
                <w:b w:val="0"/>
                <w:bCs w:val="0"/>
                <w:color w:val="auto"/>
                <w:sz w:val="24"/>
                <w:szCs w:val="24"/>
                <w:highlight w:val="none"/>
                <w:lang w:val="en-US" w:eastAsia="zh-CN"/>
              </w:rPr>
              <w:t>298.3</w:t>
            </w:r>
            <w:r>
              <w:rPr>
                <w:rFonts w:hint="default" w:ascii="Times New Roman" w:hAnsi="Times New Roman" w:eastAsia="宋体" w:cs="Times New Roman"/>
                <w:color w:val="auto"/>
                <w:kern w:val="0"/>
                <w:sz w:val="24"/>
                <w:lang w:bidi="ar"/>
              </w:rPr>
              <w:t>t/a</w:t>
            </w:r>
            <w:r>
              <w:rPr>
                <w:rFonts w:hint="default" w:ascii="Times New Roman" w:hAnsi="Times New Roman" w:eastAsia="宋体" w:cs="Times New Roman"/>
                <w:color w:val="auto"/>
                <w:sz w:val="24"/>
              </w:rPr>
              <w:t>×50mg/L×10</w:t>
            </w:r>
            <w:r>
              <w:rPr>
                <w:rFonts w:hint="default" w:ascii="Times New Roman" w:hAnsi="Times New Roman" w:eastAsia="宋体" w:cs="Times New Roman"/>
                <w:color w:val="auto"/>
                <w:sz w:val="24"/>
                <w:vertAlign w:val="superscript"/>
              </w:rPr>
              <w:t>-6</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0.015</w:t>
            </w:r>
            <w:r>
              <w:rPr>
                <w:rFonts w:hint="default" w:ascii="Times New Roman" w:hAnsi="Times New Roman" w:eastAsia="宋体" w:cs="Times New Roman"/>
                <w:color w:val="auto"/>
                <w:sz w:val="24"/>
              </w:rPr>
              <w:t>t/a</w:t>
            </w:r>
            <w:r>
              <w:rPr>
                <w:rFonts w:hint="default" w:ascii="Times New Roman" w:hAnsi="Times New Roman" w:eastAsia="宋体" w:cs="Times New Roman"/>
                <w:color w:val="auto"/>
                <w:kern w:val="0"/>
                <w:sz w:val="24"/>
                <w:lang w:bidi="ar"/>
              </w:rPr>
              <w:t>。</w:t>
            </w:r>
          </w:p>
          <w:p w14:paraId="3FB0C7F2">
            <w:pPr>
              <w:pStyle w:val="34"/>
              <w:keepNext w:val="0"/>
              <w:keepLines w:val="0"/>
              <w:pageBreakBefore w:val="0"/>
              <w:widowControl w:val="0"/>
              <w:kinsoku/>
              <w:wordWrap/>
              <w:overflowPunct/>
              <w:topLinePunct w:val="0"/>
              <w:autoSpaceDE/>
              <w:autoSpaceDN/>
              <w:bidi w:val="0"/>
              <w:adjustRightInd w:val="0"/>
              <w:snapToGrid w:val="0"/>
              <w:spacing w:after="0"/>
              <w:ind w:left="0" w:leftChars="0" w:right="0" w:firstLine="480" w:firstLineChars="200"/>
              <w:jc w:val="left"/>
              <w:textAlignment w:val="auto"/>
              <w:rPr>
                <w:rFonts w:hint="default"/>
                <w:color w:val="auto"/>
                <w:lang w:val="en-US" w:eastAsia="zh-CN"/>
              </w:rPr>
            </w:pPr>
            <w:r>
              <w:rPr>
                <w:rFonts w:hint="default" w:ascii="Times New Roman" w:hAnsi="Times New Roman" w:eastAsia="宋体" w:cs="Times New Roman"/>
                <w:color w:val="auto"/>
                <w:sz w:val="24"/>
              </w:rPr>
              <w:t>Q</w:t>
            </w:r>
            <w:r>
              <w:rPr>
                <w:rFonts w:hint="eastAsia" w:cs="Times New Roman"/>
                <w:color w:val="auto"/>
                <w:sz w:val="24"/>
                <w:szCs w:val="24"/>
                <w:vertAlign w:val="subscript"/>
                <w:lang w:val="en-US" w:eastAsia="zh-CN"/>
              </w:rPr>
              <w:t>TP</w:t>
            </w:r>
            <w:r>
              <w:rPr>
                <w:rFonts w:hint="default" w:ascii="Times New Roman" w:hAnsi="Times New Roman" w:eastAsia="宋体" w:cs="Times New Roman"/>
                <w:color w:val="auto"/>
                <w:sz w:val="24"/>
              </w:rPr>
              <w:t>=Q</w:t>
            </w:r>
            <w:r>
              <w:rPr>
                <w:rFonts w:hint="default" w:ascii="Times New Roman" w:hAnsi="Times New Roman" w:eastAsia="宋体" w:cs="Times New Roman"/>
                <w:color w:val="auto"/>
                <w:sz w:val="24"/>
                <w:vertAlign w:val="subscript"/>
              </w:rPr>
              <w:t>污水排放总量</w:t>
            </w:r>
            <w:r>
              <w:rPr>
                <w:rFonts w:hint="default" w:ascii="Times New Roman" w:hAnsi="Times New Roman" w:eastAsia="宋体" w:cs="Times New Roman"/>
                <w:color w:val="auto"/>
                <w:sz w:val="24"/>
              </w:rPr>
              <w:t>×C</w:t>
            </w:r>
            <w:r>
              <w:rPr>
                <w:rFonts w:hint="eastAsia" w:cs="Times New Roman"/>
                <w:color w:val="auto"/>
                <w:sz w:val="24"/>
                <w:szCs w:val="24"/>
                <w:vertAlign w:val="subscript"/>
                <w:lang w:val="en-US" w:eastAsia="zh-CN"/>
              </w:rPr>
              <w:t>TP</w:t>
            </w:r>
            <w:r>
              <w:rPr>
                <w:rFonts w:hint="default" w:ascii="Times New Roman" w:hAnsi="Times New Roman" w:eastAsia="宋体" w:cs="Times New Roman"/>
                <w:color w:val="auto"/>
                <w:sz w:val="24"/>
              </w:rPr>
              <w:t>×10</w:t>
            </w:r>
            <w:r>
              <w:rPr>
                <w:rFonts w:hint="default" w:ascii="Times New Roman" w:hAnsi="Times New Roman" w:eastAsia="宋体" w:cs="Times New Roman"/>
                <w:color w:val="auto"/>
                <w:sz w:val="24"/>
                <w:vertAlign w:val="superscript"/>
              </w:rPr>
              <w:t>-6</w:t>
            </w:r>
            <w:r>
              <w:rPr>
                <w:rFonts w:hint="default" w:ascii="Times New Roman" w:hAnsi="Times New Roman" w:eastAsia="宋体" w:cs="Times New Roman"/>
                <w:color w:val="auto"/>
                <w:sz w:val="24"/>
              </w:rPr>
              <w:t>=</w:t>
            </w:r>
            <w:r>
              <w:rPr>
                <w:rFonts w:hint="eastAsia" w:ascii="Times New Roman" w:hAnsi="Times New Roman" w:cs="Times New Roman"/>
                <w:b w:val="0"/>
                <w:bCs w:val="0"/>
                <w:color w:val="auto"/>
                <w:sz w:val="24"/>
                <w:szCs w:val="24"/>
                <w:highlight w:val="none"/>
                <w:lang w:val="en-US" w:eastAsia="zh-CN"/>
              </w:rPr>
              <w:t>298.3</w:t>
            </w:r>
            <w:r>
              <w:rPr>
                <w:rFonts w:hint="default" w:ascii="Times New Roman" w:hAnsi="Times New Roman" w:eastAsia="宋体" w:cs="Times New Roman"/>
                <w:color w:val="auto"/>
                <w:sz w:val="24"/>
              </w:rPr>
              <w:t>t/a×</w:t>
            </w:r>
            <w:r>
              <w:rPr>
                <w:rFonts w:hint="eastAsia" w:cs="Times New Roman"/>
                <w:color w:val="auto"/>
                <w:sz w:val="24"/>
                <w:lang w:val="en-US" w:eastAsia="zh-CN"/>
              </w:rPr>
              <w:t>0.</w:t>
            </w:r>
            <w:r>
              <w:rPr>
                <w:rFonts w:hint="default" w:ascii="Times New Roman" w:hAnsi="Times New Roman" w:eastAsia="宋体" w:cs="Times New Roman"/>
                <w:color w:val="auto"/>
                <w:sz w:val="24"/>
              </w:rPr>
              <w:t>5mg/L×10</w:t>
            </w:r>
            <w:r>
              <w:rPr>
                <w:rFonts w:hint="default" w:ascii="Times New Roman" w:hAnsi="Times New Roman" w:eastAsia="宋体" w:cs="Times New Roman"/>
                <w:color w:val="auto"/>
                <w:sz w:val="24"/>
                <w:vertAlign w:val="superscript"/>
              </w:rPr>
              <w:t>-6</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0.0</w:t>
            </w:r>
            <w:r>
              <w:rPr>
                <w:rFonts w:hint="eastAsia" w:cs="Times New Roman"/>
                <w:color w:val="auto"/>
                <w:sz w:val="24"/>
                <w:lang w:val="en-US" w:eastAsia="zh-CN"/>
              </w:rPr>
              <w:t>0</w:t>
            </w:r>
            <w:r>
              <w:rPr>
                <w:rFonts w:hint="eastAsia" w:ascii="Times New Roman" w:hAnsi="Times New Roman" w:eastAsia="宋体" w:cs="Times New Roman"/>
                <w:color w:val="auto"/>
                <w:sz w:val="24"/>
                <w:lang w:val="en-US" w:eastAsia="zh-CN"/>
              </w:rPr>
              <w:t>015</w:t>
            </w:r>
            <w:r>
              <w:rPr>
                <w:rFonts w:hint="default" w:ascii="Times New Roman" w:hAnsi="Times New Roman" w:eastAsia="宋体" w:cs="Times New Roman"/>
                <w:color w:val="auto"/>
                <w:sz w:val="24"/>
              </w:rPr>
              <w:t>t/a</w:t>
            </w:r>
            <w:r>
              <w:rPr>
                <w:rFonts w:hint="default" w:ascii="Times New Roman" w:hAnsi="Times New Roman" w:eastAsia="宋体" w:cs="Times New Roman"/>
                <w:color w:val="auto"/>
                <w:sz w:val="24"/>
                <w:lang w:eastAsia="zh-CN"/>
              </w:rPr>
              <w:t>。</w:t>
            </w:r>
          </w:p>
          <w:p w14:paraId="208CA37C">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综上，本项目废水总量指标为COD：</w:t>
            </w:r>
            <w:r>
              <w:rPr>
                <w:rFonts w:hint="eastAsia" w:ascii="Times New Roman" w:hAnsi="Times New Roman" w:eastAsia="宋体" w:cs="Times New Roman"/>
                <w:color w:val="auto"/>
                <w:sz w:val="24"/>
                <w:lang w:val="en-US" w:eastAsia="zh-CN"/>
              </w:rPr>
              <w:t>0.015</w:t>
            </w:r>
            <w:r>
              <w:rPr>
                <w:rFonts w:hint="default" w:ascii="Times New Roman" w:hAnsi="Times New Roman" w:eastAsia="宋体" w:cs="Times New Roman"/>
                <w:color w:val="auto"/>
                <w:sz w:val="24"/>
              </w:rPr>
              <w:t>t/a</w:t>
            </w:r>
            <w:r>
              <w:rPr>
                <w:rFonts w:hint="eastAsia" w:ascii="Times New Roman" w:hAnsi="Times New Roman" w:cs="Times New Roman"/>
                <w:color w:val="auto"/>
                <w:highlight w:val="none"/>
                <w:lang w:val="en-US" w:eastAsia="zh-CN"/>
              </w:rPr>
              <w:t>，TP：</w:t>
            </w:r>
            <w:r>
              <w:rPr>
                <w:rFonts w:hint="eastAsia" w:ascii="Times New Roman" w:hAnsi="Times New Roman" w:eastAsia="宋体" w:cs="Times New Roman"/>
                <w:color w:val="auto"/>
                <w:sz w:val="24"/>
                <w:lang w:val="en-US" w:eastAsia="zh-CN"/>
              </w:rPr>
              <w:t>0.00015</w:t>
            </w:r>
            <w:r>
              <w:rPr>
                <w:rFonts w:hint="default" w:ascii="Times New Roman" w:hAnsi="Times New Roman" w:eastAsia="宋体" w:cs="Times New Roman"/>
                <w:color w:val="auto"/>
                <w:sz w:val="24"/>
              </w:rPr>
              <w:t>t/a</w:t>
            </w:r>
            <w:r>
              <w:rPr>
                <w:rFonts w:hint="eastAsia" w:ascii="Times New Roman" w:hAnsi="Times New Roman" w:eastAsia="宋体" w:cs="Times New Roman"/>
                <w:color w:val="auto"/>
                <w:sz w:val="24"/>
                <w:lang w:eastAsia="zh-CN"/>
              </w:rPr>
              <w:t>。</w:t>
            </w:r>
          </w:p>
          <w:p w14:paraId="0D8AB64B">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2.废气</w:t>
            </w:r>
            <w:r>
              <w:rPr>
                <w:rFonts w:hint="default" w:ascii="Times New Roman" w:hAnsi="Times New Roman" w:eastAsia="宋体" w:cs="Times New Roman"/>
                <w:color w:val="auto"/>
                <w:sz w:val="24"/>
                <w:szCs w:val="24"/>
                <w:highlight w:val="none"/>
                <w:lang w:val="en-US" w:eastAsia="zh-CN"/>
              </w:rPr>
              <w:t>总量</w:t>
            </w:r>
          </w:p>
          <w:p w14:paraId="751474F6">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本项目运行过程中无VOCs排放，生产过程中废气主要为一氧化二氮槽车向储罐转输以及钢瓶充装过程中产生的N</w:t>
            </w:r>
            <w:r>
              <w:rPr>
                <w:rFonts w:hint="eastAsia" w:ascii="Times New Roman" w:hAnsi="Times New Roman" w:eastAsia="宋体" w:cs="Times New Roman"/>
                <w:color w:val="auto"/>
                <w:kern w:val="2"/>
                <w:sz w:val="24"/>
                <w:szCs w:val="24"/>
                <w:highlight w:val="none"/>
                <w:vertAlign w:val="subscript"/>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O。</w:t>
            </w:r>
          </w:p>
          <w:p w14:paraId="5E09CA43">
            <w:pPr>
              <w:keepNext w:val="0"/>
              <w:keepLines w:val="0"/>
              <w:pageBreakBefore w:val="0"/>
              <w:widowControl w:val="0"/>
              <w:kinsoku/>
              <w:wordWrap w:val="0"/>
              <w:overflowPunct/>
              <w:topLinePunct w:val="0"/>
              <w:autoSpaceDE/>
              <w:autoSpaceDN/>
              <w:bidi w:val="0"/>
              <w:adjustRightInd w:val="0"/>
              <w:snapToGrid w:val="0"/>
              <w:spacing w:line="360" w:lineRule="auto"/>
              <w:ind w:right="0" w:firstLine="480" w:firstLineChars="200"/>
              <w:jc w:val="left"/>
              <w:textAlignment w:val="auto"/>
              <w:outlineLvl w:val="9"/>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参考《环境空气质量标准》（GB3095-2026）表3：氮氧化物（NOx）手工分析方法为《环境空气 氮氧化物（一氧化氮和二氧化氮）的测定 盐酸萘乙二胺分光光度法》（HJ479），同时参考《主要污染物总量减排核算技术指南》（环办综合函[2022]350号）：“工业NOx深度治理工程的减排量是指钢铁行业超低排放改造，水泥、焦化等行业工业炉窑及燃煤、生物质锅炉深度治理，燃气锅炉低氮燃烧改造形成的NOx排放量减少”，因此生态环境领域氮氧化物主要</w:t>
            </w:r>
            <w:r>
              <w:rPr>
                <w:rFonts w:hint="default" w:ascii="Times New Roman" w:hAnsi="Times New Roman" w:cs="Times New Roman"/>
                <w:color w:val="auto"/>
                <w:kern w:val="2"/>
                <w:sz w:val="24"/>
                <w:szCs w:val="24"/>
                <w:highlight w:val="none"/>
                <w:lang w:val="en-US" w:eastAsia="zh-CN" w:bidi="ar-SA"/>
              </w:rPr>
              <w:t>以</w:t>
            </w:r>
            <w:r>
              <w:rPr>
                <w:rFonts w:hint="eastAsia" w:ascii="Times New Roman" w:hAnsi="Times New Roman" w:cs="Times New Roman"/>
                <w:color w:val="auto"/>
                <w:kern w:val="2"/>
                <w:sz w:val="24"/>
                <w:szCs w:val="24"/>
                <w:highlight w:val="none"/>
                <w:lang w:val="en-US" w:eastAsia="zh-CN" w:bidi="ar-SA"/>
              </w:rPr>
              <w:t>燃烧等过程中产生的</w:t>
            </w:r>
            <w:r>
              <w:rPr>
                <w:rFonts w:hint="default" w:ascii="Times New Roman" w:hAnsi="Times New Roman" w:cs="Times New Roman"/>
                <w:color w:val="auto"/>
                <w:kern w:val="2"/>
                <w:sz w:val="24"/>
                <w:szCs w:val="24"/>
                <w:highlight w:val="none"/>
                <w:lang w:val="en-US" w:eastAsia="zh-CN" w:bidi="ar-SA"/>
              </w:rPr>
              <w:t>NO</w:t>
            </w:r>
            <w:r>
              <w:rPr>
                <w:rFonts w:hint="eastAsia" w:ascii="Times New Roman" w:hAnsi="Times New Roman" w:cs="Times New Roman"/>
                <w:color w:val="auto"/>
                <w:kern w:val="2"/>
                <w:sz w:val="24"/>
                <w:szCs w:val="24"/>
                <w:highlight w:val="none"/>
                <w:lang w:val="en-US" w:eastAsia="zh-CN" w:bidi="ar-SA"/>
              </w:rPr>
              <w:t>x</w:t>
            </w:r>
            <w:r>
              <w:rPr>
                <w:rFonts w:hint="default" w:ascii="Times New Roman" w:hAnsi="Times New Roman" w:cs="Times New Roman"/>
                <w:color w:val="auto"/>
                <w:kern w:val="2"/>
                <w:sz w:val="24"/>
                <w:szCs w:val="24"/>
                <w:highlight w:val="none"/>
                <w:lang w:val="en-US" w:eastAsia="zh-CN" w:bidi="ar-SA"/>
              </w:rPr>
              <w:t>（NO+NO</w:t>
            </w:r>
            <w:r>
              <w:rPr>
                <w:rFonts w:hint="default" w:ascii="Times New Roman" w:hAnsi="Times New Roman" w:cs="Times New Roman"/>
                <w:color w:val="auto"/>
                <w:kern w:val="2"/>
                <w:sz w:val="24"/>
                <w:szCs w:val="24"/>
                <w:highlight w:val="none"/>
                <w:vertAlign w:val="subscript"/>
                <w:lang w:val="en-US" w:eastAsia="zh-CN" w:bidi="ar-SA"/>
              </w:rPr>
              <w:t>2</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为管控对象，因此本项目排放的N</w:t>
            </w:r>
            <w:r>
              <w:rPr>
                <w:rFonts w:hint="eastAsia" w:cs="Times New Roman"/>
                <w:color w:val="auto"/>
                <w:kern w:val="2"/>
                <w:sz w:val="24"/>
                <w:szCs w:val="24"/>
                <w:highlight w:val="none"/>
                <w:vertAlign w:val="subscript"/>
                <w:lang w:val="en-US" w:eastAsia="zh-CN" w:bidi="ar-SA"/>
              </w:rPr>
              <w:t>2</w:t>
            </w:r>
            <w:r>
              <w:rPr>
                <w:rFonts w:hint="eastAsia" w:cs="Times New Roman"/>
                <w:color w:val="auto"/>
                <w:kern w:val="2"/>
                <w:sz w:val="24"/>
                <w:szCs w:val="24"/>
                <w:highlight w:val="none"/>
                <w:lang w:val="en-US" w:eastAsia="zh-CN" w:bidi="ar-SA"/>
              </w:rPr>
              <w:t>O无需申请废气总量。</w:t>
            </w:r>
          </w:p>
          <w:p w14:paraId="1ACA3640">
            <w:pPr>
              <w:keepNext w:val="0"/>
              <w:keepLines w:val="0"/>
              <w:pageBreakBefore w:val="0"/>
              <w:widowControl w:val="0"/>
              <w:kinsoku/>
              <w:wordWrap w:val="0"/>
              <w:overflowPunct/>
              <w:topLinePunct w:val="0"/>
              <w:autoSpaceDE/>
              <w:autoSpaceDN/>
              <w:bidi w:val="0"/>
              <w:adjustRightInd w:val="0"/>
              <w:snapToGrid w:val="0"/>
              <w:spacing w:line="360" w:lineRule="auto"/>
              <w:ind w:right="0" w:firstLine="480" w:firstLineChars="200"/>
              <w:jc w:val="left"/>
              <w:textAlignment w:val="auto"/>
              <w:outlineLvl w:val="9"/>
              <w:rPr>
                <w:rFonts w:hint="eastAsia" w:ascii="Times New Roman" w:hAnsi="Times New Roman" w:eastAsia="宋体" w:cs="Times New Roman"/>
                <w:color w:val="auto"/>
                <w:sz w:val="24"/>
                <w:highlight w:val="red"/>
                <w:lang w:eastAsia="zh-CN"/>
              </w:rPr>
            </w:pPr>
          </w:p>
          <w:p w14:paraId="2314A6A3">
            <w:pPr>
              <w:rPr>
                <w:rFonts w:hint="default"/>
                <w:color w:val="auto"/>
                <w:lang w:val="en-US" w:eastAsia="zh-CN"/>
              </w:rPr>
            </w:pPr>
          </w:p>
        </w:tc>
      </w:tr>
    </w:tbl>
    <w:p w14:paraId="7D5F7A60">
      <w:pPr>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br w:type="page"/>
      </w:r>
    </w:p>
    <w:p w14:paraId="0E0E0D9F">
      <w:pPr>
        <w:pStyle w:val="7"/>
        <w:keepNext/>
        <w:keepLines/>
        <w:pageBreakBefore w:val="0"/>
        <w:widowControl w:val="0"/>
        <w:numPr>
          <w:ilvl w:val="0"/>
          <w:numId w:val="2"/>
        </w:numPr>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Times New Roman"/>
          <w:b w:val="0"/>
          <w:snapToGrid w:val="0"/>
          <w:color w:val="auto"/>
          <w:kern w:val="0"/>
          <w:sz w:val="30"/>
          <w:szCs w:val="30"/>
          <w:highlight w:val="none"/>
          <w:lang w:val="en-US" w:eastAsia="zh-CN" w:bidi="ar-SA"/>
        </w:rPr>
      </w:pPr>
      <w:r>
        <w:rPr>
          <w:rFonts w:hint="eastAsia" w:ascii="黑体" w:hAnsi="黑体" w:eastAsia="黑体" w:cs="Times New Roman"/>
          <w:b w:val="0"/>
          <w:snapToGrid w:val="0"/>
          <w:color w:val="auto"/>
          <w:kern w:val="0"/>
          <w:sz w:val="30"/>
          <w:szCs w:val="30"/>
          <w:highlight w:val="none"/>
          <w:lang w:val="en-US" w:eastAsia="zh-CN" w:bidi="ar-SA"/>
        </w:rPr>
        <w:t>主要环境影响和保护措施</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7908"/>
      </w:tblGrid>
      <w:tr w14:paraId="69B7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4" w:type="dxa"/>
            <w:vAlign w:val="center"/>
          </w:tcPr>
          <w:p w14:paraId="5F6D5970">
            <w:pPr>
              <w:pStyle w:val="22"/>
              <w:adjustRightInd w:val="0"/>
              <w:snapToGrid w:val="0"/>
              <w:spacing w:before="0" w:beforeAutospacing="0" w:after="0" w:afterAutospacing="0"/>
              <w:jc w:val="center"/>
              <w:rPr>
                <w:rFonts w:hint="eastAsia" w:ascii="宋体" w:hAnsi="宋体" w:eastAsia="宋体" w:cs="宋体"/>
                <w:snapToGrid w:val="0"/>
                <w:color w:val="auto"/>
                <w:sz w:val="24"/>
                <w:szCs w:val="24"/>
                <w:highlight w:val="none"/>
                <w:vertAlign w:val="baseline"/>
              </w:rPr>
            </w:pPr>
            <w:r>
              <w:rPr>
                <w:rFonts w:hint="eastAsia" w:ascii="宋体" w:hAnsi="宋体" w:eastAsia="宋体" w:cs="宋体"/>
                <w:color w:val="auto"/>
                <w:kern w:val="2"/>
                <w:sz w:val="24"/>
                <w:szCs w:val="24"/>
                <w:highlight w:val="none"/>
              </w:rPr>
              <w:t>施工期环境保护措施</w:t>
            </w:r>
          </w:p>
        </w:tc>
        <w:tc>
          <w:tcPr>
            <w:tcW w:w="7908" w:type="dxa"/>
          </w:tcPr>
          <w:p w14:paraId="61F6E7AF">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4.1施工期</w:t>
            </w:r>
          </w:p>
          <w:p w14:paraId="2EFE4D79">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本项目利用场地内现有构筑物进行建设，主要施工内容为生产设施、设备的安装等，施工过程均在现有厂房内进行，无土建施工内容，施工期较短，对周围环境影响较小。</w:t>
            </w:r>
          </w:p>
          <w:p w14:paraId="675DA6B4">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1.施工期大气污染物防治措施</w:t>
            </w:r>
          </w:p>
          <w:p w14:paraId="47DD2D37">
            <w:pPr>
              <w:pStyle w:val="4"/>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textAlignment w:val="auto"/>
              <w:outlineLvl w:val="9"/>
              <w:rPr>
                <w:rFonts w:hint="eastAsia" w:cs="Times New Roman"/>
                <w:b w:val="0"/>
                <w:bCs/>
                <w:color w:val="auto"/>
                <w:sz w:val="24"/>
                <w:highlight w:val="none"/>
                <w:lang w:eastAsia="zh-CN"/>
              </w:rPr>
            </w:pPr>
            <w:r>
              <w:rPr>
                <w:rFonts w:hint="eastAsia" w:cs="Times New Roman"/>
                <w:b w:val="0"/>
                <w:bCs/>
                <w:color w:val="auto"/>
                <w:sz w:val="24"/>
                <w:highlight w:val="none"/>
                <w:lang w:eastAsia="zh-CN"/>
              </w:rPr>
              <w:t>所有砂石、灰土、灰浆等易扬尘物料都必须以不透水的防尘布完全覆盖或放置在顶部和四周均有遮蔽的场所内；防尘布或遮蔽装置的完好率必须大于95%；</w:t>
            </w:r>
            <w:r>
              <w:rPr>
                <w:rFonts w:hint="eastAsia" w:ascii="Times New Roman" w:hAnsi="Times New Roman" w:eastAsia="宋体" w:cs="Times New Roman"/>
                <w:b w:val="0"/>
                <w:bCs/>
                <w:color w:val="auto"/>
                <w:sz w:val="24"/>
                <w:highlight w:val="none"/>
                <w:lang w:eastAsia="zh-CN"/>
              </w:rPr>
              <w:t>小批量且在8小时之内投入使用的物料除外。</w:t>
            </w:r>
            <w:r>
              <w:rPr>
                <w:rFonts w:hint="default" w:ascii="Times New Roman" w:hAnsi="Times New Roman" w:eastAsia="宋体" w:cs="Times New Roman"/>
                <w:b w:val="0"/>
                <w:bCs/>
                <w:color w:val="auto"/>
                <w:kern w:val="0"/>
                <w:sz w:val="24"/>
                <w:szCs w:val="20"/>
                <w:highlight w:val="none"/>
                <w:lang w:val="en-US" w:eastAsia="zh-CN" w:bidi="ar-SA"/>
              </w:rPr>
              <w:t>及时清运建筑土方、工程渣土、建筑废弃物等散装物料</w:t>
            </w:r>
            <w:r>
              <w:rPr>
                <w:rFonts w:hint="eastAsia" w:ascii="Times New Roman" w:hAnsi="Times New Roman" w:eastAsia="宋体" w:cs="Times New Roman"/>
                <w:b w:val="0"/>
                <w:bCs/>
                <w:color w:val="auto"/>
                <w:kern w:val="0"/>
                <w:sz w:val="24"/>
                <w:szCs w:val="20"/>
                <w:highlight w:val="none"/>
                <w:lang w:val="en-US" w:eastAsia="zh-CN" w:bidi="ar-SA"/>
              </w:rPr>
              <w:t>。</w:t>
            </w:r>
            <w:r>
              <w:rPr>
                <w:rFonts w:hint="eastAsia" w:cs="Times New Roman"/>
                <w:b w:val="0"/>
                <w:bCs/>
                <w:color w:val="auto"/>
                <w:sz w:val="24"/>
                <w:highlight w:val="none"/>
                <w:lang w:eastAsia="zh-CN"/>
              </w:rPr>
              <w:t>施工现场应当有专人负责保洁工作，配备洒水设备，定期洒水清扫。</w:t>
            </w:r>
          </w:p>
          <w:p w14:paraId="7D3D46D4">
            <w:pPr>
              <w:pStyle w:val="4"/>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textAlignment w:val="auto"/>
              <w:outlineLvl w:val="9"/>
              <w:rPr>
                <w:rFonts w:hint="eastAsia" w:ascii="Times New Roman" w:hAnsi="Times New Roman" w:cs="Times New Roman"/>
                <w:b w:val="0"/>
                <w:bCs/>
                <w:color w:val="auto"/>
                <w:sz w:val="24"/>
                <w:highlight w:val="none"/>
                <w:lang w:eastAsia="zh-CN"/>
              </w:rPr>
            </w:pPr>
            <w:r>
              <w:rPr>
                <w:rFonts w:hint="eastAsia" w:cs="Times New Roman"/>
                <w:b w:val="0"/>
                <w:bCs/>
                <w:color w:val="auto"/>
                <w:sz w:val="24"/>
                <w:highlight w:val="none"/>
                <w:lang w:eastAsia="zh-CN"/>
              </w:rPr>
              <w:t>设置运输</w:t>
            </w:r>
            <w:r>
              <w:rPr>
                <w:rFonts w:hint="eastAsia" w:ascii="Times New Roman" w:hAnsi="Times New Roman" w:cs="Times New Roman"/>
                <w:b w:val="0"/>
                <w:bCs/>
                <w:color w:val="auto"/>
                <w:sz w:val="24"/>
                <w:highlight w:val="none"/>
                <w:lang w:eastAsia="zh-CN"/>
              </w:rPr>
              <w:t>车辆冲洗装置，明确专人负责冲冼保洁，确保车辆不带泥出场，运输车辆驶出工地前，应对车轮、车身、车槽等部位进行清理或清洗以保证车辆清洁上路。</w:t>
            </w:r>
          </w:p>
          <w:p w14:paraId="6E905166">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b w:val="0"/>
                <w:bCs/>
                <w:color w:val="auto"/>
                <w:sz w:val="24"/>
                <w:highlight w:val="none"/>
                <w:lang w:val="en-US" w:eastAsia="zh-CN"/>
              </w:rPr>
              <w:t>加强扬尘综合治理</w:t>
            </w:r>
            <w:r>
              <w:rPr>
                <w:rFonts w:hint="eastAsia" w:cs="Times New Roman"/>
                <w:b w:val="0"/>
                <w:bCs/>
                <w:color w:val="auto"/>
                <w:sz w:val="24"/>
                <w:highlight w:val="none"/>
                <w:lang w:val="en-US" w:eastAsia="zh-CN"/>
              </w:rPr>
              <w:t>，</w:t>
            </w:r>
            <w:r>
              <w:rPr>
                <w:rFonts w:hint="eastAsia" w:ascii="Times New Roman" w:hAnsi="Times New Roman" w:cs="Times New Roman"/>
                <w:b w:val="0"/>
                <w:bCs/>
                <w:color w:val="auto"/>
                <w:sz w:val="24"/>
                <w:highlight w:val="none"/>
                <w:lang w:val="en-US" w:eastAsia="zh-CN"/>
              </w:rPr>
              <w:t>严格施工扬尘监管。建筑工地要做到工地周边围挡、物料堆放覆盖、工地湿法作业、路面硬化、出入车辆清洗、渣土车辆密闭运输“六个百分百”</w:t>
            </w:r>
            <w:r>
              <w:rPr>
                <w:rFonts w:hint="eastAsia" w:ascii="Times New Roman" w:hAnsi="Times New Roman" w:eastAsia="宋体" w:cs="Times New Roman"/>
                <w:color w:val="auto"/>
                <w:kern w:val="2"/>
                <w:sz w:val="24"/>
                <w:szCs w:val="24"/>
                <w:highlight w:val="none"/>
                <w:lang w:val="en-US" w:eastAsia="zh-CN" w:bidi="ar-SA"/>
              </w:rPr>
              <w:t>。</w:t>
            </w:r>
          </w:p>
          <w:p w14:paraId="1C0A4F6B">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施工期废水污染防治措施</w:t>
            </w:r>
          </w:p>
          <w:p w14:paraId="2E6993EB">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kern w:val="2"/>
                <w:sz w:val="24"/>
                <w:szCs w:val="24"/>
                <w:highlight w:val="none"/>
                <w:lang w:val="zh-CN" w:eastAsia="zh-CN" w:bidi="ar-SA"/>
              </w:rPr>
              <w:t>施工废水</w:t>
            </w:r>
            <w:r>
              <w:rPr>
                <w:rFonts w:hint="eastAsia" w:ascii="Times New Roman" w:hAnsi="Times New Roman" w:eastAsia="宋体" w:cs="Times New Roman"/>
                <w:color w:val="auto"/>
                <w:kern w:val="2"/>
                <w:sz w:val="24"/>
                <w:szCs w:val="24"/>
                <w:highlight w:val="none"/>
                <w:lang w:val="en-US" w:eastAsia="zh-CN" w:bidi="ar-SA"/>
              </w:rPr>
              <w:t>主要为施工人员生活废水，依托附近企业现有生活设施</w:t>
            </w:r>
            <w:r>
              <w:rPr>
                <w:rFonts w:hint="default" w:ascii="Times New Roman" w:hAnsi="Times New Roman" w:eastAsia="宋体" w:cs="Times New Roman"/>
                <w:color w:val="auto"/>
                <w:sz w:val="24"/>
                <w:highlight w:val="none"/>
                <w:lang w:val="zh-CN"/>
              </w:rPr>
              <w:t>。</w:t>
            </w:r>
          </w:p>
          <w:p w14:paraId="686778B3">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sz w:val="24"/>
                <w:highlight w:val="none"/>
                <w:lang w:val="zh-CN"/>
              </w:rPr>
            </w:pPr>
            <w:r>
              <w:rPr>
                <w:rFonts w:hint="eastAsia"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lang w:val="zh-CN"/>
              </w:rPr>
              <w:t>施工期噪声污染防治措施</w:t>
            </w:r>
          </w:p>
          <w:p w14:paraId="00C69FB7">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sz w:val="24"/>
                <w:highlight w:val="none"/>
                <w:lang w:val="zh-CN" w:eastAsia="zh-CN"/>
              </w:rPr>
            </w:pPr>
            <w:r>
              <w:rPr>
                <w:rFonts w:hint="eastAsia" w:ascii="Times New Roman" w:hAnsi="Times New Roman" w:eastAsia="宋体" w:cs="Times New Roman"/>
                <w:color w:val="auto"/>
                <w:sz w:val="24"/>
                <w:highlight w:val="none"/>
                <w:lang w:val="en-US" w:eastAsia="zh-CN"/>
              </w:rPr>
              <w:t>严禁夜间自由作业，因特殊需要延续施工工作时间的，必须报有关管理部门批准，才能施工；选用低噪声的作业机械及施工方法，对产噪较大的设备要进行适当屏蔽，作临时的隔声、消声和减振等综合治理；为防止建筑工人受噪声侵害，靠近强声源的工人应戴上耳塞和头盔，并限制工时间；尽量将施工设备放置在建筑物内部，现场加工须在室内进行，尽量减轻对周围环境敏感目标的影响。综上所述，通过采取上述措施可将施工期间产生的噪声向外界的传播强度控制在最低程度，对周围环境影响较小。</w:t>
            </w:r>
          </w:p>
          <w:p w14:paraId="7FE7B893">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val="en-US" w:eastAsia="zh-CN"/>
              </w:rPr>
              <w:t>施工期固体废物污染防治措施</w:t>
            </w:r>
          </w:p>
          <w:p w14:paraId="47FE7085">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highlight w:val="none"/>
                <w:lang w:val="en-US" w:eastAsia="zh-CN"/>
              </w:rPr>
              <w:t>本项目固体废物主要是建筑施工垃圾及工人生活垃圾。建筑施工垃圾能回收利用的回用，不能回收利用的及时运输到城建部门指定的堆填点堆放；生活垃圾设置临时垃圾箱进行收集，并根据当地政府管理部门的要求定期运到指定地点消纳处理。综上所述，施工期产生的固体废物全部得到妥善处置，不会对周围环境产生明显影响。</w:t>
            </w:r>
          </w:p>
          <w:p w14:paraId="43C0898E">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31A1855E">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4B113FA8">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01AC9DE0">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277081AA">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61EF6E0D">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3A974566">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47FE9668">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373F6084">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2CA868E9">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5E5E36BE">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0B359D54">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7F2EB825">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24FA2C0A">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3EE9710D">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29725CCA">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5E678A41">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5679A6FD">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075D9400">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45B38305">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4394F944">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2A36D146">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533398C3">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44D26416">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p>
          <w:p w14:paraId="6FF255E6">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p>
        </w:tc>
      </w:tr>
      <w:tr w14:paraId="0CA5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5" w:hRule="atLeast"/>
        </w:trPr>
        <w:tc>
          <w:tcPr>
            <w:tcW w:w="614" w:type="dxa"/>
            <w:vAlign w:val="center"/>
          </w:tcPr>
          <w:p w14:paraId="39FA86A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center"/>
              <w:textAlignment w:val="auto"/>
              <w:rPr>
                <w:rFonts w:hint="default" w:ascii="Times New Roman" w:hAnsi="Times New Roman" w:cs="Times New Roman" w:eastAsiaTheme="minorEastAsia"/>
                <w:color w:val="auto"/>
                <w:kern w:val="2"/>
                <w:sz w:val="21"/>
                <w:szCs w:val="21"/>
                <w:highlight w:val="none"/>
                <w:lang w:val="en-US" w:eastAsia="zh-CN"/>
              </w:rPr>
            </w:pPr>
            <w:r>
              <w:rPr>
                <w:rFonts w:hint="eastAsia" w:ascii="宋体" w:hAnsi="宋体" w:eastAsia="宋体" w:cs="宋体"/>
                <w:color w:val="auto"/>
                <w:kern w:val="2"/>
                <w:sz w:val="24"/>
                <w:szCs w:val="24"/>
                <w:highlight w:val="none"/>
                <w:lang w:val="en-US" w:eastAsia="zh-CN" w:bidi="ar-SA"/>
              </w:rPr>
              <w:t>运营期环境影响和保护措施</w:t>
            </w:r>
          </w:p>
        </w:tc>
        <w:tc>
          <w:tcPr>
            <w:tcW w:w="7908" w:type="dxa"/>
          </w:tcPr>
          <w:p w14:paraId="0CA32E97">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4.2营运期</w:t>
            </w:r>
          </w:p>
          <w:p w14:paraId="6148D493">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4.2.1废气</w:t>
            </w:r>
          </w:p>
          <w:p w14:paraId="740733C7">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（1）废气产排污情况</w:t>
            </w:r>
          </w:p>
          <w:p w14:paraId="34AF2424">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rPr>
              <w:t>本项目</w:t>
            </w:r>
            <w:r>
              <w:rPr>
                <w:rFonts w:hint="eastAsia" w:ascii="Times New Roman" w:hAnsi="Times New Roman" w:eastAsia="宋体" w:cs="Times New Roman"/>
                <w:b w:val="0"/>
                <w:bCs w:val="0"/>
                <w:color w:val="auto"/>
                <w:kern w:val="2"/>
                <w:sz w:val="24"/>
                <w:szCs w:val="24"/>
                <w:highlight w:val="none"/>
                <w:lang w:val="en-US" w:eastAsia="zh-CN"/>
              </w:rPr>
              <w:t>废气主要为</w:t>
            </w:r>
            <w:r>
              <w:rPr>
                <w:rFonts w:hint="default" w:ascii="Times New Roman" w:hAnsi="Times New Roman" w:eastAsia="宋体" w:cs="Times New Roman"/>
                <w:b w:val="0"/>
                <w:bCs w:val="0"/>
                <w:color w:val="auto"/>
                <w:kern w:val="2"/>
                <w:sz w:val="24"/>
                <w:szCs w:val="24"/>
                <w:highlight w:val="none"/>
                <w:lang w:val="en-US" w:eastAsia="zh-CN"/>
              </w:rPr>
              <w:t>槽车转输至储罐</w:t>
            </w:r>
            <w:r>
              <w:rPr>
                <w:rFonts w:hint="eastAsia" w:ascii="Times New Roman" w:hAnsi="Times New Roman" w:eastAsia="宋体" w:cs="Times New Roman"/>
                <w:b w:val="0"/>
                <w:bCs w:val="0"/>
                <w:color w:val="auto"/>
                <w:kern w:val="2"/>
                <w:sz w:val="24"/>
                <w:szCs w:val="24"/>
                <w:highlight w:val="none"/>
                <w:lang w:val="en-US" w:eastAsia="zh-CN"/>
              </w:rPr>
              <w:t>过程以及气体充装过程产生的</w:t>
            </w:r>
            <w:r>
              <w:rPr>
                <w:rFonts w:hint="default" w:ascii="Times New Roman" w:hAnsi="Times New Roman" w:eastAsia="宋体" w:cs="Times New Roman"/>
                <w:b w:val="0"/>
                <w:bCs w:val="0"/>
                <w:color w:val="auto"/>
                <w:kern w:val="2"/>
                <w:sz w:val="24"/>
                <w:szCs w:val="24"/>
                <w:highlight w:val="none"/>
                <w:lang w:val="en-US" w:eastAsia="zh-CN"/>
              </w:rPr>
              <w:t>少量逸散气体</w:t>
            </w:r>
            <w:r>
              <w:rPr>
                <w:rFonts w:hint="eastAsia" w:ascii="Times New Roman" w:hAnsi="Times New Roman" w:eastAsia="宋体" w:cs="Times New Roman"/>
                <w:b w:val="0"/>
                <w:bCs w:val="0"/>
                <w:color w:val="auto"/>
                <w:kern w:val="2"/>
                <w:sz w:val="24"/>
                <w:szCs w:val="24"/>
                <w:highlight w:val="none"/>
                <w:lang w:val="en-US" w:eastAsia="zh-CN"/>
              </w:rPr>
              <w:t>。其中氮气、二氧化碳</w:t>
            </w:r>
            <w:r>
              <w:rPr>
                <w:rFonts w:hint="default" w:ascii="Times New Roman" w:hAnsi="Times New Roman" w:eastAsia="宋体" w:cs="Times New Roman"/>
                <w:b w:val="0"/>
                <w:bCs w:val="0"/>
                <w:color w:val="auto"/>
                <w:kern w:val="2"/>
                <w:sz w:val="24"/>
                <w:szCs w:val="24"/>
                <w:highlight w:val="none"/>
                <w:lang w:val="en-US" w:eastAsia="zh-CN"/>
              </w:rPr>
              <w:t>均为空气中的主要组分，</w:t>
            </w:r>
            <w:r>
              <w:rPr>
                <w:rFonts w:hint="eastAsia" w:ascii="Times New Roman" w:hAnsi="Times New Roman" w:eastAsia="宋体" w:cs="Times New Roman"/>
                <w:b w:val="0"/>
                <w:bCs w:val="0"/>
                <w:color w:val="auto"/>
                <w:kern w:val="2"/>
                <w:sz w:val="24"/>
                <w:szCs w:val="24"/>
                <w:highlight w:val="none"/>
                <w:lang w:val="en-US" w:eastAsia="zh-CN"/>
              </w:rPr>
              <w:t>不属于污染物，且</w:t>
            </w:r>
            <w:r>
              <w:rPr>
                <w:rFonts w:hint="default" w:ascii="Times New Roman" w:hAnsi="Times New Roman" w:eastAsia="宋体" w:cs="Times New Roman"/>
                <w:b w:val="0"/>
                <w:bCs w:val="0"/>
                <w:color w:val="auto"/>
                <w:kern w:val="2"/>
                <w:sz w:val="24"/>
                <w:szCs w:val="24"/>
                <w:highlight w:val="none"/>
                <w:lang w:val="en-US" w:eastAsia="zh-CN"/>
              </w:rPr>
              <w:t>少量逸散气体不会对空气环境产生影响，也无具体的排放标准和排放要求</w:t>
            </w:r>
            <w:r>
              <w:rPr>
                <w:rFonts w:hint="eastAsia" w:ascii="Times New Roman" w:hAnsi="Times New Roman" w:eastAsia="宋体" w:cs="Times New Roman"/>
                <w:b w:val="0"/>
                <w:bCs w:val="0"/>
                <w:color w:val="auto"/>
                <w:kern w:val="2"/>
                <w:sz w:val="24"/>
                <w:szCs w:val="24"/>
                <w:highlight w:val="none"/>
                <w:lang w:val="en-US" w:eastAsia="zh-CN"/>
              </w:rPr>
              <w:t>，</w:t>
            </w:r>
            <w:r>
              <w:rPr>
                <w:rFonts w:hint="default" w:ascii="Times New Roman" w:hAnsi="Times New Roman" w:eastAsia="宋体" w:cs="Times New Roman"/>
                <w:b w:val="0"/>
                <w:bCs w:val="0"/>
                <w:color w:val="auto"/>
                <w:kern w:val="2"/>
                <w:sz w:val="24"/>
                <w:szCs w:val="24"/>
                <w:highlight w:val="none"/>
                <w:lang w:val="en-US" w:eastAsia="zh-CN"/>
              </w:rPr>
              <w:t>因此本评价不</w:t>
            </w:r>
            <w:r>
              <w:rPr>
                <w:rFonts w:hint="eastAsia" w:ascii="Times New Roman" w:hAnsi="Times New Roman" w:eastAsia="宋体" w:cs="Times New Roman"/>
                <w:b w:val="0"/>
                <w:bCs w:val="0"/>
                <w:color w:val="auto"/>
                <w:kern w:val="2"/>
                <w:sz w:val="24"/>
                <w:szCs w:val="24"/>
                <w:highlight w:val="none"/>
                <w:lang w:val="en-US" w:eastAsia="zh-CN"/>
              </w:rPr>
              <w:t>进行</w:t>
            </w:r>
            <w:r>
              <w:rPr>
                <w:rFonts w:hint="default" w:ascii="Times New Roman" w:hAnsi="Times New Roman" w:eastAsia="宋体" w:cs="Times New Roman"/>
                <w:b w:val="0"/>
                <w:bCs w:val="0"/>
                <w:color w:val="auto"/>
                <w:kern w:val="2"/>
                <w:sz w:val="24"/>
                <w:szCs w:val="24"/>
                <w:highlight w:val="none"/>
                <w:lang w:val="en-US" w:eastAsia="zh-CN"/>
              </w:rPr>
              <w:t>详细分析。</w:t>
            </w:r>
            <w:r>
              <w:rPr>
                <w:rFonts w:hint="eastAsia" w:ascii="Times New Roman" w:hAnsi="Times New Roman" w:eastAsia="宋体" w:cs="Times New Roman"/>
                <w:b w:val="0"/>
                <w:bCs w:val="0"/>
                <w:color w:val="auto"/>
                <w:kern w:val="2"/>
                <w:sz w:val="24"/>
                <w:szCs w:val="24"/>
                <w:highlight w:val="none"/>
                <w:lang w:val="en-US" w:eastAsia="zh-CN"/>
              </w:rPr>
              <w:t>环评主要考虑一氧化二氮储罐转输以及充装过程中逸散废气的排放。</w:t>
            </w:r>
          </w:p>
          <w:p w14:paraId="21FE9CB2">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①</w:t>
            </w:r>
            <w:r>
              <w:rPr>
                <w:rFonts w:hint="eastAsia" w:cs="Times New Roman"/>
                <w:b w:val="0"/>
                <w:bCs w:val="0"/>
                <w:color w:val="auto"/>
                <w:kern w:val="2"/>
                <w:sz w:val="24"/>
                <w:szCs w:val="24"/>
                <w:highlight w:val="none"/>
                <w:lang w:val="en-US" w:eastAsia="zh-CN"/>
              </w:rPr>
              <w:t>槽车向储罐转输过程</w:t>
            </w:r>
          </w:p>
          <w:p w14:paraId="4FAA361A">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液态一氧化二氮槽车向储罐转输过程中会产生</w:t>
            </w:r>
            <w:r>
              <w:rPr>
                <w:rFonts w:hint="eastAsia" w:cs="Times New Roman"/>
                <w:b w:val="0"/>
                <w:bCs w:val="0"/>
                <w:color w:val="auto"/>
                <w:kern w:val="2"/>
                <w:sz w:val="24"/>
                <w:szCs w:val="24"/>
                <w:highlight w:val="none"/>
                <w:lang w:val="en-US" w:eastAsia="zh-CN"/>
              </w:rPr>
              <w:t>气体逸散，主要产生过程为</w:t>
            </w:r>
            <w:r>
              <w:rPr>
                <w:rFonts w:hint="eastAsia" w:ascii="Times New Roman" w:hAnsi="Times New Roman" w:eastAsia="宋体" w:cs="Times New Roman"/>
                <w:b w:val="0"/>
                <w:bCs w:val="0"/>
                <w:color w:val="auto"/>
                <w:kern w:val="2"/>
                <w:sz w:val="24"/>
                <w:szCs w:val="24"/>
                <w:highlight w:val="none"/>
                <w:lang w:val="en-US" w:eastAsia="zh-CN"/>
              </w:rPr>
              <w:t>转输作业时的置换气体排放和热交换引起的持续汽化，转输过程中压力波动可能导致安全阀瞬时开启，或法兰、阀门密封处发生微量泄漏。本</w:t>
            </w:r>
            <w:r>
              <w:rPr>
                <w:rFonts w:hint="default" w:ascii="Times New Roman" w:hAnsi="Times New Roman" w:eastAsia="宋体" w:cs="Times New Roman"/>
                <w:b w:val="0"/>
                <w:bCs w:val="0"/>
                <w:color w:val="auto"/>
                <w:kern w:val="2"/>
                <w:sz w:val="24"/>
                <w:szCs w:val="24"/>
                <w:highlight w:val="none"/>
                <w:lang w:val="en-US" w:eastAsia="zh-CN"/>
              </w:rPr>
              <w:t>项目采用密闭性较好的储罐及充装管线，</w:t>
            </w:r>
            <w:r>
              <w:rPr>
                <w:rFonts w:hint="eastAsia" w:ascii="Times New Roman" w:hAnsi="Times New Roman" w:eastAsia="宋体" w:cs="Times New Roman"/>
                <w:b w:val="0"/>
                <w:bCs w:val="0"/>
                <w:color w:val="auto"/>
                <w:kern w:val="2"/>
                <w:sz w:val="24"/>
                <w:szCs w:val="24"/>
                <w:highlight w:val="none"/>
                <w:lang w:val="en-US" w:eastAsia="zh-CN"/>
              </w:rPr>
              <w:t>在槽车与储罐之间增设‌</w:t>
            </w:r>
            <w:r>
              <w:rPr>
                <w:rFonts w:hint="default" w:ascii="Times New Roman" w:hAnsi="Times New Roman" w:eastAsia="宋体" w:cs="Times New Roman"/>
                <w:b w:val="0"/>
                <w:bCs w:val="0"/>
                <w:color w:val="auto"/>
                <w:kern w:val="2"/>
                <w:sz w:val="24"/>
                <w:szCs w:val="24"/>
                <w:highlight w:val="none"/>
                <w:lang w:val="en-US" w:eastAsia="zh-CN"/>
              </w:rPr>
              <w:t>气相平衡管‌，转输前先连通气相空间，使储罐顶部的N₂O蒸气回流至槽车，抵消液体注入时产生的压力，避免强制排气。</w:t>
            </w:r>
            <w:r>
              <w:rPr>
                <w:rFonts w:hint="eastAsia" w:ascii="Times New Roman" w:hAnsi="Times New Roman" w:eastAsia="宋体" w:cs="Times New Roman"/>
                <w:b w:val="0"/>
                <w:bCs w:val="0"/>
                <w:color w:val="auto"/>
                <w:kern w:val="2"/>
                <w:sz w:val="24"/>
                <w:szCs w:val="24"/>
                <w:highlight w:val="none"/>
                <w:lang w:val="en-US" w:eastAsia="zh-CN"/>
              </w:rPr>
              <w:t>同时在管道末端设置小型‌</w:t>
            </w:r>
            <w:r>
              <w:rPr>
                <w:rFonts w:hint="default" w:ascii="Times New Roman" w:hAnsi="Times New Roman" w:eastAsia="宋体" w:cs="Times New Roman"/>
                <w:b w:val="0"/>
                <w:bCs w:val="0"/>
                <w:color w:val="auto"/>
                <w:kern w:val="2"/>
                <w:sz w:val="24"/>
                <w:szCs w:val="24"/>
                <w:highlight w:val="none"/>
                <w:lang w:val="en-US" w:eastAsia="zh-CN"/>
              </w:rPr>
              <w:t>低温真空泵‌，将每次转输结束后残留在管道和接头中的N₂O抽回至缓冲罐，用于后续充装使用</w:t>
            </w:r>
            <w:r>
              <w:rPr>
                <w:rFonts w:hint="eastAsia" w:ascii="Times New Roman" w:hAnsi="Times New Roman" w:eastAsia="宋体" w:cs="Times New Roman"/>
                <w:b w:val="0"/>
                <w:bCs w:val="0"/>
                <w:color w:val="auto"/>
                <w:kern w:val="2"/>
                <w:sz w:val="24"/>
                <w:szCs w:val="24"/>
                <w:highlight w:val="none"/>
                <w:lang w:val="en-US" w:eastAsia="zh-CN"/>
              </w:rPr>
              <w:t>，并在装卸区</w:t>
            </w:r>
            <w:r>
              <w:rPr>
                <w:rFonts w:hint="eastAsia" w:cs="Times New Roman"/>
                <w:b w:val="0"/>
                <w:bCs w:val="0"/>
                <w:color w:val="auto"/>
                <w:kern w:val="2"/>
                <w:sz w:val="24"/>
                <w:szCs w:val="24"/>
                <w:highlight w:val="none"/>
                <w:lang w:val="en-US" w:eastAsia="zh-CN"/>
              </w:rPr>
              <w:t>、充装区</w:t>
            </w:r>
            <w:r>
              <w:rPr>
                <w:rFonts w:hint="default" w:ascii="Times New Roman" w:hAnsi="Times New Roman" w:eastAsia="宋体" w:cs="Times New Roman"/>
                <w:b w:val="0"/>
                <w:bCs w:val="0"/>
                <w:color w:val="auto"/>
                <w:kern w:val="2"/>
                <w:sz w:val="24"/>
                <w:szCs w:val="24"/>
                <w:highlight w:val="none"/>
                <w:lang w:val="en-US" w:eastAsia="zh-CN"/>
              </w:rPr>
              <w:t>设置</w:t>
            </w:r>
            <w:r>
              <w:rPr>
                <w:rFonts w:hint="eastAsia" w:ascii="Times New Roman" w:hAnsi="Times New Roman" w:eastAsia="宋体" w:cs="Times New Roman"/>
                <w:b w:val="0"/>
                <w:bCs w:val="0"/>
                <w:color w:val="auto"/>
                <w:kern w:val="2"/>
                <w:sz w:val="24"/>
                <w:szCs w:val="24"/>
                <w:highlight w:val="none"/>
                <w:lang w:val="en-US" w:eastAsia="zh-CN"/>
              </w:rPr>
              <w:t>一氧化二氮气体泄漏检测报警装置。参考企业提供设计资料，转输过程中气体泄漏量按总转输量的0.001%估算。</w:t>
            </w:r>
            <w:r>
              <w:rPr>
                <w:rFonts w:hint="eastAsia" w:cs="Times New Roman"/>
                <w:b w:val="0"/>
                <w:bCs w:val="0"/>
                <w:color w:val="auto"/>
                <w:kern w:val="2"/>
                <w:sz w:val="24"/>
                <w:szCs w:val="24"/>
                <w:highlight w:val="none"/>
                <w:lang w:val="en-US" w:eastAsia="zh-CN"/>
              </w:rPr>
              <w:t>本项目槽车转输工艺过程示意图如下图所示。</w:t>
            </w:r>
          </w:p>
          <w:p w14:paraId="53AA6F60">
            <w:pPr>
              <w:pStyle w:val="2"/>
              <w:ind w:left="0" w:leftChars="0" w:firstLine="0" w:firstLineChars="0"/>
              <w:jc w:val="center"/>
            </w:pPr>
            <w:r>
              <w:drawing>
                <wp:inline distT="0" distB="0" distL="114300" distR="114300">
                  <wp:extent cx="4688205" cy="1047750"/>
                  <wp:effectExtent l="0" t="0" r="171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688205" cy="1047750"/>
                          </a:xfrm>
                          <a:prstGeom prst="rect">
                            <a:avLst/>
                          </a:prstGeom>
                          <a:noFill/>
                          <a:ln>
                            <a:noFill/>
                          </a:ln>
                        </pic:spPr>
                      </pic:pic>
                    </a:graphicData>
                  </a:graphic>
                </wp:inline>
              </w:drawing>
            </w:r>
          </w:p>
          <w:p w14:paraId="17516D75">
            <w:pPr>
              <w:pStyle w:val="3"/>
              <w:keepNext w:val="0"/>
              <w:keepLines w:val="0"/>
              <w:pageBreakBefore w:val="0"/>
              <w:widowControl w:val="0"/>
              <w:kinsoku/>
              <w:wordWrap/>
              <w:overflowPunct/>
              <w:topLinePunct w:val="0"/>
              <w:autoSpaceDE/>
              <w:autoSpaceDN/>
              <w:bidi w:val="0"/>
              <w:adjustRightInd w:val="0"/>
              <w:snapToGrid w:val="0"/>
              <w:spacing w:before="0" w:after="0" w:line="260" w:lineRule="auto"/>
              <w:ind w:left="0" w:leftChars="0" w:right="0" w:firstLine="0" w:firstLineChars="0"/>
              <w:jc w:val="center"/>
              <w:textAlignment w:val="auto"/>
              <w:rPr>
                <w:rFonts w:hint="default" w:eastAsia="宋体"/>
                <w:lang w:val="en-US" w:eastAsia="zh-CN"/>
              </w:rPr>
            </w:pPr>
            <w:r>
              <w:rPr>
                <w:rFonts w:hint="eastAsia" w:ascii="黑体" w:hAnsi="黑体" w:eastAsia="黑体" w:cs="黑体"/>
                <w:sz w:val="21"/>
                <w:szCs w:val="21"/>
                <w:lang w:val="en-US" w:eastAsia="zh-CN"/>
              </w:rPr>
              <w:t>图4-1槽车转输示意图</w:t>
            </w:r>
          </w:p>
          <w:p w14:paraId="7D9E8AD7">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①</w:t>
            </w:r>
            <w:r>
              <w:rPr>
                <w:rFonts w:hint="eastAsia" w:ascii="宋体" w:hAnsi="宋体" w:cs="宋体"/>
                <w:b w:val="0"/>
                <w:bCs w:val="0"/>
                <w:color w:val="auto"/>
                <w:kern w:val="2"/>
                <w:sz w:val="24"/>
                <w:szCs w:val="24"/>
                <w:highlight w:val="none"/>
                <w:lang w:val="en-US" w:eastAsia="zh-CN"/>
              </w:rPr>
              <w:t>充装</w:t>
            </w:r>
            <w:r>
              <w:rPr>
                <w:rFonts w:hint="eastAsia" w:cs="Times New Roman"/>
                <w:b w:val="0"/>
                <w:bCs w:val="0"/>
                <w:color w:val="auto"/>
                <w:kern w:val="2"/>
                <w:sz w:val="24"/>
                <w:szCs w:val="24"/>
                <w:highlight w:val="none"/>
                <w:lang w:val="en-US" w:eastAsia="zh-CN"/>
              </w:rPr>
              <w:t>过程</w:t>
            </w:r>
          </w:p>
          <w:p w14:paraId="639501DE">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本项目一氧化二氮充装完毕充装接头拆卸后，残留在接头处的少量一氧化二氮无组织排放，气体充装流程短，密闭性好，为减少充装环节气体逸散，在充装线末端设置‌</w:t>
            </w:r>
            <w:r>
              <w:rPr>
                <w:rFonts w:hint="default" w:ascii="Times New Roman" w:hAnsi="Times New Roman" w:eastAsia="宋体" w:cs="Times New Roman"/>
                <w:b w:val="0"/>
                <w:bCs w:val="0"/>
                <w:color w:val="auto"/>
                <w:kern w:val="2"/>
                <w:sz w:val="24"/>
                <w:szCs w:val="24"/>
                <w:highlight w:val="none"/>
                <w:lang w:val="en-US" w:eastAsia="zh-CN"/>
              </w:rPr>
              <w:t>低压回收管路‌，将每次操作后接头和管道内的残余N₂O抽回至缓冲罐，实现循环利用</w:t>
            </w:r>
            <w:r>
              <w:rPr>
                <w:rFonts w:hint="eastAsia" w:ascii="Times New Roman" w:hAnsi="Times New Roman" w:eastAsia="宋体" w:cs="Times New Roman"/>
                <w:b w:val="0"/>
                <w:bCs w:val="0"/>
                <w:color w:val="auto"/>
                <w:kern w:val="2"/>
                <w:sz w:val="24"/>
                <w:szCs w:val="24"/>
                <w:highlight w:val="none"/>
                <w:lang w:val="en-US" w:eastAsia="zh-CN"/>
              </w:rPr>
              <w:t>，该环节废气逸散量较少，根据企业提供设计资料，该环节废气产生量按0.0001kg/次估算。</w:t>
            </w:r>
          </w:p>
          <w:p w14:paraId="7EA82B6A">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本项目生产过程中采取有效的控制措施，减少一氧化二氮气体的逸散，少量气体通过无组织排放方式排至环境空气。</w:t>
            </w:r>
          </w:p>
          <w:p w14:paraId="530E4DA7">
            <w:pPr>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废气排放情况如下表所示。</w:t>
            </w:r>
          </w:p>
          <w:p w14:paraId="586DE215">
            <w:pPr>
              <w:adjustRightInd w:val="0"/>
              <w:snapToGrid w:val="0"/>
              <w:spacing w:line="240" w:lineRule="auto"/>
              <w:jc w:val="center"/>
              <w:rPr>
                <w:rStyle w:val="27"/>
                <w:rFonts w:hint="eastAsia" w:ascii="Arial" w:hAnsi="Arial" w:eastAsia="宋体" w:cs="Arial"/>
                <w:b/>
                <w:bCs/>
                <w:i w:val="0"/>
                <w:iCs w:val="0"/>
                <w:caps w:val="0"/>
                <w:color w:val="333333"/>
                <w:spacing w:val="0"/>
                <w:sz w:val="24"/>
                <w:szCs w:val="24"/>
                <w:shd w:val="clear" w:fill="FFFFFF"/>
                <w:lang w:val="en-US" w:eastAsia="zh-CN"/>
              </w:rPr>
            </w:pPr>
            <w:r>
              <w:rPr>
                <w:rStyle w:val="27"/>
                <w:rFonts w:hint="eastAsia" w:ascii="黑体" w:hAnsi="黑体" w:eastAsia="黑体" w:cs="黑体"/>
                <w:b w:val="0"/>
                <w:bCs w:val="0"/>
                <w:i w:val="0"/>
                <w:iCs w:val="0"/>
                <w:caps w:val="0"/>
                <w:color w:val="333333"/>
                <w:spacing w:val="0"/>
                <w:sz w:val="21"/>
                <w:szCs w:val="21"/>
                <w:shd w:val="clear" w:fill="FFFFFF"/>
                <w:lang w:val="en-US" w:eastAsia="zh-CN"/>
              </w:rPr>
              <w:t>表4-1废气排放情况汇总表</w:t>
            </w:r>
          </w:p>
          <w:tbl>
            <w:tblPr>
              <w:tblStyle w:val="25"/>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394"/>
              <w:gridCol w:w="1484"/>
              <w:gridCol w:w="1582"/>
              <w:gridCol w:w="1281"/>
              <w:gridCol w:w="1281"/>
            </w:tblGrid>
            <w:tr w14:paraId="66C9B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1" w:type="pct"/>
                  <w:tcBorders>
                    <w:tl2br w:val="nil"/>
                    <w:tr2bl w:val="nil"/>
                  </w:tcBorders>
                  <w:vAlign w:val="center"/>
                </w:tcPr>
                <w:p w14:paraId="61DDC7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序号</w:t>
                  </w:r>
                </w:p>
              </w:tc>
              <w:tc>
                <w:tcPr>
                  <w:tcW w:w="906" w:type="pct"/>
                  <w:tcBorders>
                    <w:tl2br w:val="nil"/>
                    <w:tr2bl w:val="nil"/>
                  </w:tcBorders>
                  <w:vAlign w:val="center"/>
                </w:tcPr>
                <w:p w14:paraId="5160BD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产污环节</w:t>
                  </w:r>
                </w:p>
              </w:tc>
              <w:tc>
                <w:tcPr>
                  <w:tcW w:w="965" w:type="pct"/>
                  <w:tcBorders>
                    <w:tl2br w:val="nil"/>
                    <w:tr2bl w:val="nil"/>
                  </w:tcBorders>
                  <w:vAlign w:val="center"/>
                </w:tcPr>
                <w:p w14:paraId="7EBC0D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产污系数</w:t>
                  </w:r>
                </w:p>
              </w:tc>
              <w:tc>
                <w:tcPr>
                  <w:tcW w:w="1029" w:type="pct"/>
                  <w:tcBorders>
                    <w:tl2br w:val="nil"/>
                    <w:tr2bl w:val="nil"/>
                  </w:tcBorders>
                  <w:vAlign w:val="center"/>
                </w:tcPr>
                <w:p w14:paraId="2CC7B4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充装量/频次</w:t>
                  </w:r>
                </w:p>
              </w:tc>
              <w:tc>
                <w:tcPr>
                  <w:tcW w:w="833" w:type="pct"/>
                  <w:tcBorders>
                    <w:tl2br w:val="nil"/>
                    <w:tr2bl w:val="nil"/>
                  </w:tcBorders>
                  <w:vAlign w:val="center"/>
                </w:tcPr>
                <w:p w14:paraId="4BB787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废气产生量t/a</w:t>
                  </w:r>
                </w:p>
              </w:tc>
              <w:tc>
                <w:tcPr>
                  <w:tcW w:w="833" w:type="pct"/>
                  <w:tcBorders>
                    <w:tl2br w:val="nil"/>
                    <w:tr2bl w:val="nil"/>
                  </w:tcBorders>
                  <w:vAlign w:val="center"/>
                </w:tcPr>
                <w:p w14:paraId="109F5C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排放方式</w:t>
                  </w:r>
                </w:p>
              </w:tc>
            </w:tr>
            <w:tr w14:paraId="6ABC5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1" w:type="pct"/>
                  <w:tcBorders>
                    <w:tl2br w:val="nil"/>
                    <w:tr2bl w:val="nil"/>
                  </w:tcBorders>
                  <w:vAlign w:val="center"/>
                </w:tcPr>
                <w:p w14:paraId="09A8C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1</w:t>
                  </w:r>
                </w:p>
              </w:tc>
              <w:tc>
                <w:tcPr>
                  <w:tcW w:w="906" w:type="pct"/>
                  <w:tcBorders>
                    <w:tl2br w:val="nil"/>
                    <w:tr2bl w:val="nil"/>
                  </w:tcBorders>
                  <w:vAlign w:val="center"/>
                </w:tcPr>
                <w:p w14:paraId="195F98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槽车转输</w:t>
                  </w:r>
                </w:p>
              </w:tc>
              <w:tc>
                <w:tcPr>
                  <w:tcW w:w="965" w:type="pct"/>
                  <w:tcBorders>
                    <w:tl2br w:val="nil"/>
                    <w:tr2bl w:val="nil"/>
                  </w:tcBorders>
                  <w:vAlign w:val="center"/>
                </w:tcPr>
                <w:p w14:paraId="04C942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0.001%</w:t>
                  </w:r>
                </w:p>
              </w:tc>
              <w:tc>
                <w:tcPr>
                  <w:tcW w:w="1029" w:type="pct"/>
                  <w:tcBorders>
                    <w:tl2br w:val="nil"/>
                    <w:tr2bl w:val="nil"/>
                  </w:tcBorders>
                  <w:vAlign w:val="center"/>
                </w:tcPr>
                <w:p w14:paraId="685204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9900t</w:t>
                  </w:r>
                </w:p>
              </w:tc>
              <w:tc>
                <w:tcPr>
                  <w:tcW w:w="833" w:type="pct"/>
                  <w:tcBorders>
                    <w:tl2br w:val="nil"/>
                    <w:tr2bl w:val="nil"/>
                  </w:tcBorders>
                  <w:vAlign w:val="center"/>
                </w:tcPr>
                <w:p w14:paraId="092CEA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0.099</w:t>
                  </w:r>
                </w:p>
              </w:tc>
              <w:tc>
                <w:tcPr>
                  <w:tcW w:w="833" w:type="pct"/>
                  <w:tcBorders>
                    <w:tl2br w:val="nil"/>
                    <w:tr2bl w:val="nil"/>
                  </w:tcBorders>
                  <w:vAlign w:val="center"/>
                </w:tcPr>
                <w:p w14:paraId="038403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无组织</w:t>
                  </w:r>
                </w:p>
              </w:tc>
            </w:tr>
            <w:tr w14:paraId="3D60E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1" w:type="pct"/>
                  <w:tcBorders>
                    <w:tl2br w:val="nil"/>
                    <w:tr2bl w:val="nil"/>
                  </w:tcBorders>
                  <w:vAlign w:val="center"/>
                </w:tcPr>
                <w:p w14:paraId="1FF3C3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2</w:t>
                  </w:r>
                </w:p>
              </w:tc>
              <w:tc>
                <w:tcPr>
                  <w:tcW w:w="906" w:type="pct"/>
                  <w:tcBorders>
                    <w:tl2br w:val="nil"/>
                    <w:tr2bl w:val="nil"/>
                  </w:tcBorders>
                  <w:vAlign w:val="center"/>
                </w:tcPr>
                <w:p w14:paraId="0ECB84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充装</w:t>
                  </w:r>
                </w:p>
              </w:tc>
              <w:tc>
                <w:tcPr>
                  <w:tcW w:w="965" w:type="pct"/>
                  <w:tcBorders>
                    <w:tl2br w:val="nil"/>
                    <w:tr2bl w:val="nil"/>
                  </w:tcBorders>
                  <w:vAlign w:val="center"/>
                </w:tcPr>
                <w:p w14:paraId="3FDE0B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0.0001kg/次</w:t>
                  </w:r>
                </w:p>
              </w:tc>
              <w:tc>
                <w:tcPr>
                  <w:tcW w:w="1029" w:type="pct"/>
                  <w:tcBorders>
                    <w:tl2br w:val="nil"/>
                    <w:tr2bl w:val="nil"/>
                  </w:tcBorders>
                  <w:vAlign w:val="center"/>
                </w:tcPr>
                <w:p w14:paraId="1CC66E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4950000次/a</w:t>
                  </w:r>
                </w:p>
              </w:tc>
              <w:tc>
                <w:tcPr>
                  <w:tcW w:w="833" w:type="pct"/>
                  <w:tcBorders>
                    <w:tl2br w:val="nil"/>
                    <w:tr2bl w:val="nil"/>
                  </w:tcBorders>
                  <w:vAlign w:val="center"/>
                </w:tcPr>
                <w:p w14:paraId="7C1B54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0.495</w:t>
                  </w:r>
                </w:p>
              </w:tc>
              <w:tc>
                <w:tcPr>
                  <w:tcW w:w="833" w:type="pct"/>
                  <w:tcBorders>
                    <w:tl2br w:val="nil"/>
                    <w:tr2bl w:val="nil"/>
                  </w:tcBorders>
                  <w:vAlign w:val="center"/>
                </w:tcPr>
                <w:p w14:paraId="67A254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t>无组织</w:t>
                  </w:r>
                </w:p>
              </w:tc>
            </w:tr>
            <w:tr w14:paraId="28AE0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33" w:type="pct"/>
                  <w:gridSpan w:val="4"/>
                  <w:tcBorders>
                    <w:tl2br w:val="nil"/>
                    <w:tr2bl w:val="nil"/>
                  </w:tcBorders>
                  <w:vAlign w:val="center"/>
                </w:tcPr>
                <w:p w14:paraId="54000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合计</w:t>
                  </w:r>
                </w:p>
              </w:tc>
              <w:tc>
                <w:tcPr>
                  <w:tcW w:w="833" w:type="pct"/>
                  <w:tcBorders>
                    <w:tl2br w:val="nil"/>
                    <w:tr2bl w:val="nil"/>
                  </w:tcBorders>
                  <w:vAlign w:val="center"/>
                </w:tcPr>
                <w:p w14:paraId="30D992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0.594</w:t>
                  </w:r>
                </w:p>
              </w:tc>
              <w:tc>
                <w:tcPr>
                  <w:tcW w:w="833" w:type="pct"/>
                  <w:tcBorders>
                    <w:tl2br w:val="nil"/>
                    <w:tr2bl w:val="nil"/>
                  </w:tcBorders>
                  <w:vAlign w:val="center"/>
                </w:tcPr>
                <w:p w14:paraId="5AC5D2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Style w:val="27"/>
                      <w:rFonts w:hint="default" w:ascii="Times New Roman" w:hAnsi="Times New Roman" w:eastAsia="宋体" w:cs="Times New Roman"/>
                      <w:b w:val="0"/>
                      <w:bCs w:val="0"/>
                      <w:i w:val="0"/>
                      <w:iCs w:val="0"/>
                      <w:caps w:val="0"/>
                      <w:color w:val="333333"/>
                      <w:spacing w:val="0"/>
                      <w:sz w:val="21"/>
                      <w:szCs w:val="21"/>
                      <w:shd w:val="clear" w:fill="FFFFFF"/>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w:t>
                  </w:r>
                </w:p>
              </w:tc>
            </w:tr>
          </w:tbl>
          <w:p w14:paraId="1263E689">
            <w:pPr>
              <w:pStyle w:val="29"/>
              <w:keepNext w:val="0"/>
              <w:keepLines w:val="0"/>
              <w:pageBreakBefore w:val="0"/>
              <w:widowControl w:val="0"/>
              <w:numPr>
                <w:ilvl w:val="0"/>
                <w:numId w:val="0"/>
              </w:numPr>
              <w:kinsoku/>
              <w:wordWrap/>
              <w:overflowPunct/>
              <w:topLinePunct w:val="0"/>
              <w:autoSpaceDE/>
              <w:autoSpaceDN/>
              <w:bidi w:val="0"/>
              <w:adjustRightInd/>
              <w:snapToGrid/>
              <w:spacing w:before="0" w:after="0"/>
              <w:ind w:right="0" w:firstLine="480" w:firstLineChars="200"/>
              <w:textAlignment w:val="auto"/>
              <w:rPr>
                <w:rFonts w:hint="eastAsia" w:ascii="Times New Roman" w:hAnsi="Times New Roman" w:cs="Times New Roman"/>
                <w:b w:val="0"/>
                <w:bCs/>
                <w:color w:val="auto"/>
                <w:kern w:val="2"/>
                <w:sz w:val="24"/>
                <w:szCs w:val="24"/>
                <w:highlight w:val="none"/>
                <w:lang w:val="en-US" w:eastAsia="zh-CN" w:bidi="ar-SA"/>
              </w:rPr>
            </w:pPr>
            <w:r>
              <w:rPr>
                <w:rFonts w:hint="eastAsia" w:ascii="Times New Roman" w:hAnsi="Times New Roman" w:cs="Times New Roman"/>
                <w:b w:val="0"/>
                <w:bCs/>
                <w:color w:val="auto"/>
                <w:kern w:val="2"/>
                <w:sz w:val="24"/>
                <w:szCs w:val="24"/>
                <w:highlight w:val="none"/>
                <w:lang w:val="en-US" w:eastAsia="zh-CN" w:bidi="ar-SA"/>
              </w:rPr>
              <w:t>（2）污染物排放情况汇总</w:t>
            </w:r>
          </w:p>
          <w:p w14:paraId="6286BD57">
            <w:pPr>
              <w:pStyle w:val="29"/>
              <w:keepNext w:val="0"/>
              <w:keepLines w:val="0"/>
              <w:pageBreakBefore w:val="0"/>
              <w:widowControl w:val="0"/>
              <w:numPr>
                <w:ilvl w:val="0"/>
                <w:numId w:val="0"/>
              </w:numPr>
              <w:kinsoku/>
              <w:wordWrap/>
              <w:overflowPunct/>
              <w:topLinePunct w:val="0"/>
              <w:autoSpaceDE/>
              <w:autoSpaceDN/>
              <w:bidi w:val="0"/>
              <w:adjustRightInd/>
              <w:snapToGrid/>
              <w:spacing w:before="0" w:after="0"/>
              <w:ind w:right="0" w:firstLine="480" w:firstLineChars="200"/>
              <w:textAlignment w:val="auto"/>
              <w:rPr>
                <w:rFonts w:hint="eastAsia" w:ascii="Times New Roman" w:hAnsi="Times New Roman" w:cs="Times New Roman"/>
                <w:b w:val="0"/>
                <w:bCs/>
                <w:color w:val="auto"/>
                <w:kern w:val="2"/>
                <w:sz w:val="24"/>
                <w:szCs w:val="24"/>
                <w:highlight w:val="none"/>
                <w:lang w:val="en-US" w:eastAsia="zh-CN" w:bidi="ar-SA"/>
              </w:rPr>
            </w:pPr>
            <w:r>
              <w:rPr>
                <w:rFonts w:hint="eastAsia" w:ascii="Times New Roman" w:hAnsi="Times New Roman" w:cs="Times New Roman"/>
                <w:b w:val="0"/>
                <w:bCs/>
                <w:color w:val="auto"/>
                <w:kern w:val="2"/>
                <w:sz w:val="24"/>
                <w:szCs w:val="24"/>
                <w:highlight w:val="none"/>
                <w:lang w:val="en-US" w:eastAsia="zh-CN" w:bidi="ar-SA"/>
              </w:rPr>
              <w:t>本项目各环节污染物排放情况汇总如下表所示。</w:t>
            </w:r>
          </w:p>
          <w:p w14:paraId="472E627B">
            <w:pPr>
              <w:pStyle w:val="3"/>
              <w:keepNext w:val="0"/>
              <w:keepLines w:val="0"/>
              <w:pageBreakBefore w:val="0"/>
              <w:widowControl w:val="0"/>
              <w:kinsoku/>
              <w:wordWrap/>
              <w:overflowPunct/>
              <w:topLinePunct w:val="0"/>
              <w:autoSpaceDE/>
              <w:autoSpaceDN/>
              <w:bidi w:val="0"/>
              <w:adjustRightInd w:val="0"/>
              <w:snapToGrid w:val="0"/>
              <w:spacing w:before="0" w:after="0" w:line="260" w:lineRule="auto"/>
              <w:ind w:left="0" w:leftChars="0" w:right="0" w:firstLine="0" w:firstLineChars="0"/>
              <w:jc w:val="center"/>
              <w:textAlignment w:val="auto"/>
              <w:rPr>
                <w:rFonts w:hint="eastAsia" w:ascii="黑体" w:hAnsi="黑体" w:eastAsia="黑体" w:cs="黑体"/>
                <w:color w:val="auto"/>
                <w:kern w:val="18"/>
                <w:sz w:val="21"/>
                <w:szCs w:val="21"/>
                <w:highlight w:val="none"/>
                <w:lang w:val="en-US" w:eastAsia="zh-CN" w:bidi="ar-SA"/>
              </w:rPr>
            </w:pPr>
            <w:r>
              <w:rPr>
                <w:rFonts w:hint="eastAsia" w:ascii="黑体" w:hAnsi="黑体" w:eastAsia="黑体" w:cs="黑体"/>
                <w:color w:val="auto"/>
                <w:kern w:val="18"/>
                <w:sz w:val="21"/>
                <w:szCs w:val="21"/>
                <w:highlight w:val="none"/>
                <w:lang w:val="en-US" w:eastAsia="zh-CN" w:bidi="ar-SA"/>
              </w:rPr>
              <w:t>表4-2污染物排放情况汇总表</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3845"/>
            </w:tblGrid>
            <w:tr w14:paraId="73ED5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65B6E4EC">
                  <w:pPr>
                    <w:jc w:val="center"/>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污染因子</w:t>
                  </w:r>
                </w:p>
              </w:tc>
              <w:tc>
                <w:tcPr>
                  <w:tcW w:w="2500" w:type="pct"/>
                  <w:tcBorders>
                    <w:tl2br w:val="nil"/>
                    <w:tr2bl w:val="nil"/>
                  </w:tcBorders>
                  <w:vAlign w:val="center"/>
                </w:tcPr>
                <w:p w14:paraId="56EAE669">
                  <w:pPr>
                    <w:jc w:val="center"/>
                    <w:rPr>
                      <w:rFonts w:hint="default" w:ascii="Times New Roman" w:hAnsi="Times New Roman" w:cs="Times New Roman"/>
                      <w:sz w:val="21"/>
                      <w:szCs w:val="21"/>
                      <w:highlight w:val="none"/>
                      <w:vertAlign w:val="baseline"/>
                      <w:lang w:val="en-US" w:eastAsia="zh-CN"/>
                    </w:rPr>
                  </w:pPr>
                  <w:r>
                    <w:rPr>
                      <w:rFonts w:hint="eastAsia" w:ascii="Times New Roman" w:hAnsi="Times New Roman" w:cs="Times New Roman"/>
                      <w:sz w:val="21"/>
                      <w:szCs w:val="21"/>
                      <w:highlight w:val="none"/>
                      <w:vertAlign w:val="baseline"/>
                      <w:lang w:val="en-US" w:eastAsia="zh-CN"/>
                    </w:rPr>
                    <w:t>排放量t/a</w:t>
                  </w:r>
                </w:p>
              </w:tc>
            </w:tr>
            <w:tr w14:paraId="20E84D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00" w:type="pct"/>
                  <w:tcBorders>
                    <w:tl2br w:val="nil"/>
                    <w:tr2bl w:val="nil"/>
                  </w:tcBorders>
                  <w:vAlign w:val="center"/>
                </w:tcPr>
                <w:p w14:paraId="52888F22">
                  <w:pPr>
                    <w:jc w:val="center"/>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一氧化二氮</w:t>
                  </w:r>
                </w:p>
              </w:tc>
              <w:tc>
                <w:tcPr>
                  <w:tcW w:w="2500" w:type="pct"/>
                  <w:tcBorders>
                    <w:tl2br w:val="nil"/>
                    <w:tr2bl w:val="nil"/>
                  </w:tcBorders>
                  <w:vAlign w:val="center"/>
                </w:tcPr>
                <w:p w14:paraId="6F1A124C">
                  <w:pPr>
                    <w:jc w:val="center"/>
                    <w:rPr>
                      <w:rFonts w:hint="default" w:ascii="Times New Roman" w:hAnsi="Times New Roman" w:cs="Times New Roman"/>
                      <w:sz w:val="21"/>
                      <w:szCs w:val="21"/>
                      <w:highlight w:val="none"/>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0.594</w:t>
                  </w:r>
                </w:p>
              </w:tc>
            </w:tr>
          </w:tbl>
          <w:p w14:paraId="786B3F14">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污染治理设施可行性分析</w:t>
            </w:r>
          </w:p>
          <w:p w14:paraId="13017B6B">
            <w:pPr>
              <w:pStyle w:val="31"/>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由于本项目参考</w:t>
            </w:r>
            <w:r>
              <w:rPr>
                <w:rFonts w:hint="default" w:ascii="Times New Roman" w:hAnsi="Times New Roman" w:eastAsia="宋体" w:cs="Times New Roman"/>
                <w:color w:val="auto"/>
                <w:kern w:val="2"/>
                <w:sz w:val="24"/>
                <w:szCs w:val="24"/>
                <w:highlight w:val="none"/>
                <w:lang w:val="en-US" w:eastAsia="zh-CN" w:bidi="ar-SA"/>
              </w:rPr>
              <w:t>《排污许可证申请与核发技术规范</w:t>
            </w:r>
            <w:r>
              <w:rPr>
                <w:rFonts w:hint="eastAsia" w:ascii="Times New Roman" w:hAnsi="Times New Roman" w:eastAsia="宋体" w:cs="Times New Roman"/>
                <w:color w:val="auto"/>
                <w:kern w:val="2"/>
                <w:sz w:val="24"/>
                <w:szCs w:val="24"/>
                <w:highlight w:val="none"/>
                <w:lang w:val="en-US" w:eastAsia="zh-CN" w:bidi="ar-SA"/>
              </w:rPr>
              <w:t xml:space="preserve"> 储油库、加油站</w:t>
            </w:r>
            <w:r>
              <w:rPr>
                <w:rFonts w:hint="default" w:ascii="Times New Roman" w:hAnsi="Times New Roman" w:eastAsia="宋体" w:cs="Times New Roman"/>
                <w:color w:val="auto"/>
                <w:kern w:val="2"/>
                <w:sz w:val="24"/>
                <w:szCs w:val="24"/>
                <w:highlight w:val="none"/>
                <w:lang w:val="en-US" w:eastAsia="zh-CN" w:bidi="ar-SA"/>
              </w:rPr>
              <w:t>》（HJ</w:t>
            </w:r>
            <w:r>
              <w:rPr>
                <w:rFonts w:hint="eastAsia" w:ascii="Times New Roman" w:hAnsi="Times New Roman" w:eastAsia="宋体" w:cs="Times New Roman"/>
                <w:color w:val="auto"/>
                <w:kern w:val="2"/>
                <w:sz w:val="24"/>
                <w:szCs w:val="24"/>
                <w:highlight w:val="none"/>
                <w:lang w:val="en-US" w:eastAsia="zh-CN" w:bidi="ar-SA"/>
              </w:rPr>
              <w:t>1118-2020</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表</w:t>
            </w:r>
            <w:r>
              <w:rPr>
                <w:rFonts w:hint="default" w:ascii="Times New Roman" w:hAnsi="Times New Roman" w:eastAsia="宋体" w:cs="Times New Roman"/>
                <w:color w:val="auto"/>
                <w:kern w:val="2"/>
                <w:sz w:val="24"/>
                <w:szCs w:val="24"/>
                <w:highlight w:val="none"/>
                <w:lang w:val="en-US" w:eastAsia="zh-CN" w:bidi="ar-SA"/>
              </w:rPr>
              <w:t>F.1</w:t>
            </w:r>
            <w:r>
              <w:rPr>
                <w:rFonts w:hint="eastAsia" w:ascii="Times New Roman" w:hAnsi="Times New Roman" w:eastAsia="宋体" w:cs="Times New Roman"/>
                <w:color w:val="auto"/>
                <w:kern w:val="2"/>
                <w:sz w:val="24"/>
                <w:szCs w:val="24"/>
                <w:highlight w:val="none"/>
                <w:lang w:val="en-US" w:eastAsia="zh-CN" w:bidi="ar-SA"/>
              </w:rPr>
              <w:t>进行可行性判断。</w:t>
            </w:r>
            <w:r>
              <w:rPr>
                <w:rFonts w:hint="default" w:ascii="Times New Roman" w:hAnsi="Times New Roman" w:eastAsia="宋体" w:cs="Times New Roman"/>
                <w:color w:val="auto"/>
                <w:kern w:val="2"/>
                <w:sz w:val="24"/>
                <w:szCs w:val="24"/>
                <w:highlight w:val="none"/>
                <w:lang w:val="en-US" w:eastAsia="zh-CN" w:bidi="ar-SA"/>
              </w:rPr>
              <w:t>本项目与排污许可证要求的可行性技术的相符性分析见下表。</w:t>
            </w:r>
          </w:p>
          <w:p w14:paraId="29C5A97F">
            <w:pPr>
              <w:pStyle w:val="36"/>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jc w:val="center"/>
              <w:textAlignment w:val="baseline"/>
              <w:outlineLvl w:val="9"/>
              <w:rPr>
                <w:rFonts w:hint="default" w:ascii="Times New Roman" w:hAnsi="Times New Roman" w:eastAsia="黑体" w:cs="Times New Roman"/>
                <w:b w:val="0"/>
                <w:bCs w:val="0"/>
                <w:color w:val="auto"/>
                <w:kern w:val="2"/>
                <w:sz w:val="21"/>
                <w:szCs w:val="21"/>
                <w:highlight w:val="none"/>
                <w:vertAlign w:val="baseline"/>
                <w:lang w:val="en-US" w:eastAsia="zh-CN" w:bidi="ar-SA"/>
              </w:rPr>
            </w:pPr>
            <w:r>
              <w:rPr>
                <w:rFonts w:hint="eastAsia" w:ascii="黑体" w:hAnsi="黑体" w:eastAsia="黑体" w:cs="黑体"/>
                <w:b w:val="0"/>
                <w:bCs w:val="0"/>
                <w:color w:val="auto"/>
                <w:kern w:val="2"/>
                <w:sz w:val="21"/>
                <w:szCs w:val="21"/>
                <w:highlight w:val="none"/>
                <w:vertAlign w:val="baseline"/>
                <w:lang w:val="en-US" w:eastAsia="zh-CN" w:bidi="ar-SA"/>
              </w:rPr>
              <w:t>表4-3本项目可行性技术的相符性分析</w:t>
            </w:r>
          </w:p>
          <w:tbl>
            <w:tblPr>
              <w:tblStyle w:val="25"/>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524"/>
              <w:gridCol w:w="1698"/>
              <w:gridCol w:w="3692"/>
              <w:gridCol w:w="772"/>
            </w:tblGrid>
            <w:tr w14:paraId="41D849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trPr>
              <w:tc>
                <w:tcPr>
                  <w:tcW w:w="2095" w:type="pct"/>
                  <w:gridSpan w:val="2"/>
                  <w:tcBorders>
                    <w:tl2br w:val="nil"/>
                    <w:tr2bl w:val="nil"/>
                  </w:tcBorders>
                  <w:noWrap w:val="0"/>
                  <w:vAlign w:val="center"/>
                </w:tcPr>
                <w:p w14:paraId="54ACA4AE">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文件要求</w:t>
                  </w:r>
                </w:p>
              </w:tc>
              <w:tc>
                <w:tcPr>
                  <w:tcW w:w="2401" w:type="pct"/>
                  <w:vMerge w:val="restart"/>
                  <w:tcBorders>
                    <w:tl2br w:val="nil"/>
                    <w:tr2bl w:val="nil"/>
                  </w:tcBorders>
                  <w:noWrap w:val="0"/>
                  <w:vAlign w:val="center"/>
                </w:tcPr>
                <w:p w14:paraId="2943793F">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本项目设置情况</w:t>
                  </w:r>
                </w:p>
              </w:tc>
              <w:tc>
                <w:tcPr>
                  <w:tcW w:w="502" w:type="pct"/>
                  <w:vMerge w:val="restart"/>
                  <w:tcBorders>
                    <w:tl2br w:val="nil"/>
                    <w:tr2bl w:val="nil"/>
                  </w:tcBorders>
                  <w:noWrap w:val="0"/>
                  <w:vAlign w:val="center"/>
                </w:tcPr>
                <w:p w14:paraId="3B52BE06">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符合性</w:t>
                  </w:r>
                </w:p>
              </w:tc>
            </w:tr>
            <w:tr w14:paraId="2C03F3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991" w:type="pct"/>
                  <w:tcBorders>
                    <w:tl2br w:val="nil"/>
                    <w:tr2bl w:val="nil"/>
                  </w:tcBorders>
                  <w:noWrap w:val="0"/>
                  <w:vAlign w:val="center"/>
                </w:tcPr>
                <w:p w14:paraId="25854D11">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文件名称</w:t>
                  </w:r>
                </w:p>
              </w:tc>
              <w:tc>
                <w:tcPr>
                  <w:tcW w:w="1104" w:type="pct"/>
                  <w:tcBorders>
                    <w:tl2br w:val="nil"/>
                    <w:tr2bl w:val="nil"/>
                  </w:tcBorders>
                  <w:noWrap w:val="0"/>
                  <w:vAlign w:val="center"/>
                </w:tcPr>
                <w:p w14:paraId="46E0A031">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文件要求</w:t>
                  </w:r>
                </w:p>
              </w:tc>
              <w:tc>
                <w:tcPr>
                  <w:tcW w:w="2401" w:type="pct"/>
                  <w:vMerge w:val="continue"/>
                  <w:tcBorders>
                    <w:tl2br w:val="nil"/>
                    <w:tr2bl w:val="nil"/>
                  </w:tcBorders>
                  <w:noWrap w:val="0"/>
                  <w:vAlign w:val="center"/>
                </w:tcPr>
                <w:p w14:paraId="62E4034D">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420" w:firstLineChars="200"/>
                    <w:jc w:val="both"/>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p>
              </w:tc>
              <w:tc>
                <w:tcPr>
                  <w:tcW w:w="502" w:type="pct"/>
                  <w:vMerge w:val="continue"/>
                  <w:tcBorders>
                    <w:tl2br w:val="nil"/>
                    <w:tr2bl w:val="nil"/>
                  </w:tcBorders>
                  <w:noWrap w:val="0"/>
                  <w:vAlign w:val="center"/>
                </w:tcPr>
                <w:p w14:paraId="31C87409">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p>
              </w:tc>
            </w:tr>
            <w:tr w14:paraId="0598FF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991" w:type="pct"/>
                  <w:tcBorders>
                    <w:tl2br w:val="nil"/>
                    <w:tr2bl w:val="nil"/>
                  </w:tcBorders>
                  <w:noWrap w:val="0"/>
                  <w:vAlign w:val="center"/>
                </w:tcPr>
                <w:p w14:paraId="6B3CC21C">
                  <w:pPr>
                    <w:keepNext w:val="0"/>
                    <w:keepLines w:val="0"/>
                    <w:widowControl/>
                    <w:suppressLineNumbers w:val="0"/>
                    <w:jc w:val="center"/>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《排污许可证申请与核发技术规范</w:t>
                  </w:r>
                  <w:r>
                    <w:rPr>
                      <w:rFonts w:hint="eastAsia" w:cs="Times New Roman"/>
                      <w:color w:val="auto"/>
                      <w:kern w:val="2"/>
                      <w:sz w:val="21"/>
                      <w:szCs w:val="21"/>
                      <w:highlight w:val="none"/>
                      <w:vertAlign w:val="baseline"/>
                      <w:lang w:val="en-US" w:eastAsia="zh-CN" w:bidi="ar-SA"/>
                    </w:rPr>
                    <w:t xml:space="preserve"> 储油库、加油站</w:t>
                  </w:r>
                  <w:r>
                    <w:rPr>
                      <w:rFonts w:hint="default" w:ascii="Times New Roman" w:hAnsi="Times New Roman" w:eastAsia="宋体" w:cs="Times New Roman"/>
                      <w:color w:val="auto"/>
                      <w:kern w:val="2"/>
                      <w:sz w:val="21"/>
                      <w:szCs w:val="21"/>
                      <w:highlight w:val="none"/>
                      <w:vertAlign w:val="baseline"/>
                      <w:lang w:val="en-US" w:eastAsia="zh-CN" w:bidi="ar-SA"/>
                    </w:rPr>
                    <w:t>》（HJ</w:t>
                  </w:r>
                  <w:r>
                    <w:rPr>
                      <w:rFonts w:hint="eastAsia" w:cs="Times New Roman"/>
                      <w:color w:val="auto"/>
                      <w:kern w:val="2"/>
                      <w:sz w:val="21"/>
                      <w:szCs w:val="21"/>
                      <w:highlight w:val="none"/>
                      <w:vertAlign w:val="baseline"/>
                      <w:lang w:val="en-US" w:eastAsia="zh-CN" w:bidi="ar-SA"/>
                    </w:rPr>
                    <w:t>1118-2020</w:t>
                  </w:r>
                  <w:r>
                    <w:rPr>
                      <w:rFonts w:hint="default" w:ascii="Times New Roman" w:hAnsi="Times New Roman" w:eastAsia="宋体" w:cs="Times New Roman"/>
                      <w:color w:val="auto"/>
                      <w:kern w:val="2"/>
                      <w:sz w:val="21"/>
                      <w:szCs w:val="21"/>
                      <w:highlight w:val="none"/>
                      <w:vertAlign w:val="baseline"/>
                      <w:lang w:val="en-US" w:eastAsia="zh-CN" w:bidi="ar-SA"/>
                    </w:rPr>
                    <w:t>）</w:t>
                  </w:r>
                  <w:r>
                    <w:rPr>
                      <w:rFonts w:hint="eastAsia" w:cs="Times New Roman"/>
                      <w:color w:val="auto"/>
                      <w:kern w:val="2"/>
                      <w:sz w:val="21"/>
                      <w:szCs w:val="21"/>
                      <w:highlight w:val="none"/>
                      <w:vertAlign w:val="baseline"/>
                      <w:lang w:val="en-US" w:eastAsia="zh-CN" w:bidi="ar-SA"/>
                    </w:rPr>
                    <w:t>表F.1</w:t>
                  </w:r>
                </w:p>
              </w:tc>
              <w:tc>
                <w:tcPr>
                  <w:tcW w:w="1104" w:type="pct"/>
                  <w:tcBorders>
                    <w:tl2br w:val="nil"/>
                    <w:tr2bl w:val="nil"/>
                  </w:tcBorders>
                  <w:noWrap w:val="0"/>
                  <w:vAlign w:val="center"/>
                </w:tcPr>
                <w:p w14:paraId="3A5DA658">
                  <w:pPr>
                    <w:keepNext w:val="0"/>
                    <w:keepLines w:val="0"/>
                    <w:widowControl/>
                    <w:suppressLineNumbers w:val="0"/>
                    <w:jc w:val="left"/>
                    <w:rPr>
                      <w:rFonts w:hint="eastAsia"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1.汽油储罐挥发：油气平衡；</w:t>
                  </w:r>
                </w:p>
                <w:p w14:paraId="47CED537">
                  <w:pPr>
                    <w:keepNext w:val="0"/>
                    <w:keepLines w:val="0"/>
                    <w:widowControl/>
                    <w:suppressLineNumbers w:val="0"/>
                    <w:jc w:val="left"/>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2.汽油加油枪挥发：油气回收。</w:t>
                  </w:r>
                </w:p>
              </w:tc>
              <w:tc>
                <w:tcPr>
                  <w:tcW w:w="2401" w:type="pct"/>
                  <w:tcBorders>
                    <w:tl2br w:val="nil"/>
                    <w:tr2bl w:val="nil"/>
                  </w:tcBorders>
                  <w:noWrap w:val="0"/>
                  <w:vAlign w:val="center"/>
                </w:tcPr>
                <w:p w14:paraId="1429E6B3">
                  <w:pPr>
                    <w:keepNext w:val="0"/>
                    <w:keepLines w:val="0"/>
                    <w:widowControl/>
                    <w:suppressLineNumbers w:val="0"/>
                    <w:jc w:val="left"/>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1.本</w:t>
                  </w:r>
                  <w:r>
                    <w:rPr>
                      <w:rFonts w:hint="default" w:ascii="Times New Roman" w:hAnsi="Times New Roman" w:eastAsia="宋体" w:cs="Times New Roman"/>
                      <w:color w:val="auto"/>
                      <w:kern w:val="2"/>
                      <w:sz w:val="21"/>
                      <w:szCs w:val="21"/>
                      <w:highlight w:val="none"/>
                      <w:vertAlign w:val="baseline"/>
                      <w:lang w:val="en-US" w:eastAsia="zh-CN" w:bidi="ar-SA"/>
                    </w:rPr>
                    <w:t>项目采用密闭性较好的储罐及充装管线，</w:t>
                  </w:r>
                  <w:r>
                    <w:rPr>
                      <w:rFonts w:hint="eastAsia" w:ascii="Times New Roman" w:hAnsi="Times New Roman" w:eastAsia="宋体" w:cs="Times New Roman"/>
                      <w:color w:val="auto"/>
                      <w:kern w:val="2"/>
                      <w:sz w:val="21"/>
                      <w:szCs w:val="21"/>
                      <w:highlight w:val="none"/>
                      <w:vertAlign w:val="baseline"/>
                      <w:lang w:val="en-US" w:eastAsia="zh-CN" w:bidi="ar-SA"/>
                    </w:rPr>
                    <w:t>在槽车与储罐之间增设‌</w:t>
                  </w:r>
                  <w:r>
                    <w:rPr>
                      <w:rFonts w:hint="default" w:ascii="Times New Roman" w:hAnsi="Times New Roman" w:eastAsia="宋体" w:cs="Times New Roman"/>
                      <w:color w:val="auto"/>
                      <w:kern w:val="2"/>
                      <w:sz w:val="21"/>
                      <w:szCs w:val="21"/>
                      <w:highlight w:val="none"/>
                      <w:vertAlign w:val="baseline"/>
                      <w:lang w:val="en-US" w:eastAsia="zh-CN" w:bidi="ar-SA"/>
                    </w:rPr>
                    <w:t>气相平衡管‌，转输前先连通气相空间，使储罐顶部的N₂O蒸气回流至槽车，抵消液体注入时产生的压力，避免强制排气</w:t>
                  </w:r>
                  <w:r>
                    <w:rPr>
                      <w:rFonts w:hint="eastAsia" w:ascii="Times New Roman" w:hAnsi="Times New Roman" w:eastAsia="宋体" w:cs="Times New Roman"/>
                      <w:color w:val="auto"/>
                      <w:kern w:val="2"/>
                      <w:sz w:val="21"/>
                      <w:szCs w:val="21"/>
                      <w:highlight w:val="none"/>
                      <w:vertAlign w:val="baseline"/>
                      <w:lang w:val="en-US" w:eastAsia="zh-CN" w:bidi="ar-SA"/>
                    </w:rPr>
                    <w:t>。</w:t>
                  </w:r>
                </w:p>
                <w:p w14:paraId="1C97D79F">
                  <w:pPr>
                    <w:keepNext w:val="0"/>
                    <w:keepLines w:val="0"/>
                    <w:widowControl/>
                    <w:suppressLineNumbers w:val="0"/>
                    <w:jc w:val="left"/>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eastAsia="宋体" w:cs="Times New Roman"/>
                      <w:color w:val="auto"/>
                      <w:kern w:val="2"/>
                      <w:sz w:val="21"/>
                      <w:szCs w:val="21"/>
                      <w:highlight w:val="none"/>
                      <w:vertAlign w:val="baseline"/>
                      <w:lang w:val="en-US" w:eastAsia="zh-CN" w:bidi="ar-SA"/>
                    </w:rPr>
                    <w:t>2.在充装线末端设置‌</w:t>
                  </w:r>
                  <w:r>
                    <w:rPr>
                      <w:rFonts w:hint="default" w:ascii="Times New Roman" w:hAnsi="Times New Roman" w:eastAsia="宋体" w:cs="Times New Roman"/>
                      <w:color w:val="auto"/>
                      <w:kern w:val="2"/>
                      <w:sz w:val="21"/>
                      <w:szCs w:val="21"/>
                      <w:highlight w:val="none"/>
                      <w:vertAlign w:val="baseline"/>
                      <w:lang w:val="en-US" w:eastAsia="zh-CN" w:bidi="ar-SA"/>
                    </w:rPr>
                    <w:t>低压回收管路‌，将每次操作后接头和管道内的残余N₂O抽回至缓冲罐，实现循环利用</w:t>
                  </w:r>
                  <w:r>
                    <w:rPr>
                      <w:rFonts w:hint="eastAsia" w:cs="Times New Roman"/>
                      <w:color w:val="auto"/>
                      <w:kern w:val="2"/>
                      <w:sz w:val="21"/>
                      <w:szCs w:val="21"/>
                      <w:highlight w:val="none"/>
                      <w:vertAlign w:val="baseline"/>
                      <w:lang w:val="en-US" w:eastAsia="zh-CN" w:bidi="ar-SA"/>
                    </w:rPr>
                    <w:t>。</w:t>
                  </w:r>
                </w:p>
              </w:tc>
              <w:tc>
                <w:tcPr>
                  <w:tcW w:w="502" w:type="pct"/>
                  <w:tcBorders>
                    <w:tl2br w:val="nil"/>
                    <w:tr2bl w:val="nil"/>
                  </w:tcBorders>
                  <w:noWrap w:val="0"/>
                  <w:vAlign w:val="center"/>
                </w:tcPr>
                <w:p w14:paraId="07D7E543">
                  <w:pPr>
                    <w:pStyle w:val="34"/>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符合</w:t>
                  </w:r>
                </w:p>
              </w:tc>
            </w:tr>
          </w:tbl>
          <w:p w14:paraId="31F45A6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firstLine="480" w:firstLineChars="200"/>
              <w:jc w:val="both"/>
              <w:textAlignment w:val="auto"/>
              <w:outlineLvl w:val="9"/>
              <w:rPr>
                <w:rFonts w:hint="default" w:ascii="Times New Roman" w:hAnsi="Times New Roman" w:eastAsia="宋体" w:cs="Times New Roman"/>
                <w:color w:val="000000"/>
                <w:kern w:val="2"/>
                <w:sz w:val="24"/>
                <w:szCs w:val="24"/>
                <w:highlight w:val="none"/>
                <w:lang w:val="en-US" w:eastAsia="zh-CN" w:bidi="ar"/>
              </w:rPr>
            </w:pPr>
            <w:r>
              <w:rPr>
                <w:rFonts w:hint="eastAsia" w:ascii="Times New Roman" w:hAnsi="Times New Roman" w:eastAsia="宋体" w:cs="Times New Roman"/>
                <w:color w:val="000000"/>
                <w:kern w:val="2"/>
                <w:sz w:val="24"/>
                <w:szCs w:val="24"/>
                <w:highlight w:val="none"/>
                <w:lang w:val="en-US" w:eastAsia="zh-CN" w:bidi="ar"/>
              </w:rPr>
              <w:t>由上表可知，</w:t>
            </w:r>
            <w:r>
              <w:rPr>
                <w:rFonts w:hint="default" w:ascii="Times New Roman" w:hAnsi="Times New Roman" w:eastAsia="宋体" w:cs="Times New Roman"/>
                <w:color w:val="000000"/>
                <w:kern w:val="2"/>
                <w:sz w:val="24"/>
                <w:szCs w:val="24"/>
                <w:highlight w:val="none"/>
                <w:lang w:val="en-US" w:eastAsia="zh-CN" w:bidi="ar"/>
              </w:rPr>
              <w:t>本项目无组织排放控制措施满足</w:t>
            </w:r>
            <w:r>
              <w:rPr>
                <w:rFonts w:hint="default" w:ascii="Times New Roman" w:hAnsi="Times New Roman" w:eastAsia="宋体" w:cs="Times New Roman"/>
                <w:color w:val="auto"/>
                <w:kern w:val="2"/>
                <w:sz w:val="24"/>
                <w:szCs w:val="24"/>
                <w:highlight w:val="none"/>
                <w:lang w:val="en-US" w:eastAsia="zh-CN" w:bidi="ar-SA"/>
              </w:rPr>
              <w:t>《排污许可证申请与核发技术规范</w:t>
            </w:r>
            <w:r>
              <w:rPr>
                <w:rFonts w:hint="eastAsia" w:ascii="Times New Roman" w:hAnsi="Times New Roman" w:eastAsia="宋体" w:cs="Times New Roman"/>
                <w:color w:val="auto"/>
                <w:kern w:val="2"/>
                <w:sz w:val="24"/>
                <w:szCs w:val="24"/>
                <w:highlight w:val="none"/>
                <w:lang w:val="en-US" w:eastAsia="zh-CN" w:bidi="ar-SA"/>
              </w:rPr>
              <w:t xml:space="preserve"> 储油库、加油站</w:t>
            </w:r>
            <w:r>
              <w:rPr>
                <w:rFonts w:hint="default" w:ascii="Times New Roman" w:hAnsi="Times New Roman" w:eastAsia="宋体" w:cs="Times New Roman"/>
                <w:color w:val="auto"/>
                <w:kern w:val="2"/>
                <w:sz w:val="24"/>
                <w:szCs w:val="24"/>
                <w:highlight w:val="none"/>
                <w:lang w:val="en-US" w:eastAsia="zh-CN" w:bidi="ar-SA"/>
              </w:rPr>
              <w:t>》（HJ</w:t>
            </w:r>
            <w:r>
              <w:rPr>
                <w:rFonts w:hint="eastAsia" w:ascii="Times New Roman" w:hAnsi="Times New Roman" w:eastAsia="宋体" w:cs="Times New Roman"/>
                <w:color w:val="auto"/>
                <w:kern w:val="2"/>
                <w:sz w:val="24"/>
                <w:szCs w:val="24"/>
                <w:highlight w:val="none"/>
                <w:lang w:val="en-US" w:eastAsia="zh-CN" w:bidi="ar-SA"/>
              </w:rPr>
              <w:t>1118-2020</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
              </w:rPr>
              <w:t>中所列控制要求，属于可行技术。采取可行技术后，本项目</w:t>
            </w:r>
            <w:r>
              <w:rPr>
                <w:rFonts w:hint="eastAsia" w:ascii="Times New Roman" w:hAnsi="Times New Roman" w:eastAsia="宋体" w:cs="Times New Roman"/>
                <w:color w:val="000000"/>
                <w:kern w:val="2"/>
                <w:sz w:val="24"/>
                <w:szCs w:val="24"/>
                <w:highlight w:val="none"/>
                <w:lang w:val="en-US" w:eastAsia="zh-CN" w:bidi="ar"/>
              </w:rPr>
              <w:t>无组织排放氮氧化物能够满足</w:t>
            </w:r>
            <w:r>
              <w:rPr>
                <w:rFonts w:hint="default" w:ascii="Times New Roman" w:hAnsi="Times New Roman" w:eastAsia="宋体" w:cs="Times New Roman"/>
                <w:color w:val="000000"/>
                <w:kern w:val="2"/>
                <w:sz w:val="24"/>
                <w:szCs w:val="24"/>
                <w:highlight w:val="none"/>
                <w:lang w:val="en-US" w:eastAsia="zh-CN" w:bidi="ar"/>
              </w:rPr>
              <w:t>《大气污染物综合排放标准》（GB16297-1996）表2</w:t>
            </w:r>
            <w:r>
              <w:rPr>
                <w:rFonts w:hint="eastAsia" w:ascii="Times New Roman" w:hAnsi="Times New Roman" w:eastAsia="宋体" w:cs="Times New Roman"/>
                <w:color w:val="000000"/>
                <w:kern w:val="2"/>
                <w:sz w:val="24"/>
                <w:szCs w:val="24"/>
                <w:highlight w:val="none"/>
                <w:lang w:val="en-US" w:eastAsia="zh-CN" w:bidi="ar"/>
              </w:rPr>
              <w:t>标准限值：</w:t>
            </w:r>
            <w:r>
              <w:rPr>
                <w:rFonts w:hint="default" w:ascii="Times New Roman" w:hAnsi="Times New Roman" w:eastAsia="宋体" w:cs="Times New Roman"/>
                <w:color w:val="000000"/>
                <w:kern w:val="2"/>
                <w:sz w:val="24"/>
                <w:szCs w:val="24"/>
                <w:highlight w:val="none"/>
                <w:lang w:val="en-US" w:eastAsia="zh-CN" w:bidi="ar"/>
              </w:rPr>
              <w:t>周界外浓度最高点</w:t>
            </w:r>
            <w:r>
              <w:rPr>
                <w:rFonts w:hint="eastAsia" w:ascii="Times New Roman" w:hAnsi="Times New Roman" w:eastAsia="宋体" w:cs="Times New Roman"/>
                <w:color w:val="000000"/>
                <w:kern w:val="2"/>
                <w:sz w:val="24"/>
                <w:szCs w:val="24"/>
                <w:highlight w:val="none"/>
                <w:lang w:val="en-US" w:eastAsia="zh-CN" w:bidi="ar"/>
              </w:rPr>
              <w:t>NOx：0.12</w:t>
            </w:r>
            <w:r>
              <w:rPr>
                <w:rFonts w:hint="default" w:ascii="Times New Roman" w:hAnsi="Times New Roman" w:eastAsia="宋体" w:cs="Times New Roman"/>
                <w:color w:val="000000"/>
                <w:kern w:val="2"/>
                <w:sz w:val="24"/>
                <w:szCs w:val="24"/>
                <w:highlight w:val="none"/>
                <w:lang w:val="en-US" w:eastAsia="zh-CN" w:bidi="ar"/>
              </w:rPr>
              <w:t>mg/m</w:t>
            </w:r>
            <w:r>
              <w:rPr>
                <w:rFonts w:hint="default" w:ascii="Times New Roman" w:hAnsi="Times New Roman" w:eastAsia="宋体" w:cs="Times New Roman"/>
                <w:color w:val="000000"/>
                <w:kern w:val="2"/>
                <w:sz w:val="24"/>
                <w:szCs w:val="24"/>
                <w:highlight w:val="none"/>
                <w:vertAlign w:val="superscript"/>
                <w:lang w:val="en-US" w:eastAsia="zh-CN" w:bidi="ar"/>
              </w:rPr>
              <w:t>3</w:t>
            </w:r>
            <w:r>
              <w:rPr>
                <w:rFonts w:hint="default" w:ascii="Times New Roman" w:hAnsi="Times New Roman" w:eastAsia="宋体" w:cs="Times New Roman"/>
                <w:color w:val="000000"/>
                <w:kern w:val="2"/>
                <w:sz w:val="24"/>
                <w:szCs w:val="24"/>
                <w:highlight w:val="none"/>
                <w:lang w:val="en-US" w:eastAsia="zh-CN" w:bidi="ar"/>
              </w:rPr>
              <w:t>。</w:t>
            </w:r>
          </w:p>
          <w:p w14:paraId="3E9C0EA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firstLine="480" w:firstLineChars="200"/>
              <w:jc w:val="both"/>
              <w:textAlignment w:val="auto"/>
              <w:outlineLvl w:val="9"/>
              <w:rPr>
                <w:rFonts w:hint="default" w:ascii="Times New Roman" w:hAnsi="Times New Roman" w:eastAsia="宋体" w:cs="Times New Roman"/>
                <w:color w:val="000000"/>
                <w:kern w:val="2"/>
                <w:sz w:val="24"/>
                <w:szCs w:val="24"/>
                <w:highlight w:val="none"/>
                <w:lang w:val="en-US" w:eastAsia="zh-CN" w:bidi="ar"/>
              </w:rPr>
            </w:pPr>
            <w:r>
              <w:rPr>
                <w:rFonts w:hint="default" w:ascii="Times New Roman" w:hAnsi="Times New Roman" w:eastAsia="宋体" w:cs="Times New Roman"/>
                <w:color w:val="000000"/>
                <w:kern w:val="2"/>
                <w:sz w:val="24"/>
                <w:szCs w:val="24"/>
                <w:highlight w:val="none"/>
                <w:lang w:val="en-US" w:eastAsia="zh-CN" w:bidi="ar"/>
              </w:rPr>
              <w:t>综上所述，本项目所在区域环境空气质量现状为达标区，</w:t>
            </w:r>
            <w:r>
              <w:rPr>
                <w:rFonts w:hint="eastAsia" w:cs="Times New Roman"/>
                <w:color w:val="000000"/>
                <w:kern w:val="2"/>
                <w:sz w:val="24"/>
                <w:szCs w:val="24"/>
                <w:highlight w:val="none"/>
                <w:lang w:val="en-US" w:eastAsia="zh-CN" w:bidi="ar"/>
              </w:rPr>
              <w:t>氮氧化物</w:t>
            </w:r>
            <w:r>
              <w:rPr>
                <w:rFonts w:hint="default" w:ascii="Times New Roman" w:hAnsi="Times New Roman" w:eastAsia="宋体" w:cs="Times New Roman"/>
                <w:color w:val="000000"/>
                <w:kern w:val="2"/>
                <w:sz w:val="24"/>
                <w:szCs w:val="24"/>
                <w:highlight w:val="none"/>
                <w:lang w:val="en-US" w:eastAsia="zh-CN" w:bidi="ar"/>
              </w:rPr>
              <w:t>环境现状达标，采取相应污染防治措施后，大气污染物可以实现达标排放，不会对周边环境空气质量产生较大影响。</w:t>
            </w:r>
          </w:p>
          <w:p w14:paraId="3C69FE49">
            <w:pPr>
              <w:pStyle w:val="11"/>
              <w:pageBreakBefore w:val="0"/>
              <w:kinsoku/>
              <w:wordWrap/>
              <w:overflowPunct/>
              <w:topLinePunct w:val="0"/>
              <w:autoSpaceDE/>
              <w:autoSpaceDN/>
              <w:bidi w:val="0"/>
              <w:adjustRightInd w:val="0"/>
              <w:snapToGrid w:val="0"/>
              <w:spacing w:beforeLines="0" w:after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4.2.</w:t>
            </w:r>
            <w:r>
              <w:rPr>
                <w:rFonts w:hint="eastAsia" w:cs="Times New Roman"/>
                <w:color w:val="auto"/>
                <w:highlight w:val="none"/>
                <w:lang w:val="en-US" w:eastAsia="zh-CN"/>
              </w:rPr>
              <w:t>2</w:t>
            </w:r>
            <w:r>
              <w:rPr>
                <w:rFonts w:hint="default" w:ascii="Times New Roman" w:hAnsi="Times New Roman" w:cs="Times New Roman"/>
                <w:color w:val="auto"/>
                <w:highlight w:val="none"/>
              </w:rPr>
              <w:t>废水</w:t>
            </w:r>
          </w:p>
          <w:p w14:paraId="685A35C0">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1.生活废水</w:t>
            </w:r>
          </w:p>
          <w:p w14:paraId="2A21EDDB">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sz w:val="24"/>
                <w:szCs w:val="24"/>
                <w:highlight w:val="none"/>
                <w:lang w:val="en-US" w:eastAsia="zh-CN"/>
              </w:rPr>
              <w:t>本项目</w:t>
            </w:r>
            <w:r>
              <w:rPr>
                <w:rFonts w:hint="default" w:ascii="Times New Roman" w:hAnsi="Times New Roman" w:cs="Times New Roman"/>
                <w:color w:val="auto"/>
                <w:sz w:val="24"/>
                <w:szCs w:val="24"/>
                <w:highlight w:val="none"/>
                <w:lang w:val="en-US" w:eastAsia="zh-CN"/>
              </w:rPr>
              <w:t>生产过程中</w:t>
            </w:r>
            <w:r>
              <w:rPr>
                <w:rFonts w:hint="eastAsia" w:ascii="Times New Roman" w:hAnsi="Times New Roman" w:cs="Times New Roman"/>
                <w:color w:val="auto"/>
                <w:sz w:val="24"/>
                <w:szCs w:val="24"/>
                <w:highlight w:val="none"/>
                <w:lang w:val="en-US" w:eastAsia="zh-CN"/>
              </w:rPr>
              <w:t>无需用水</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日常生产用水环节为员工生活用水。本项目用水由市政供水管网供给。</w:t>
            </w:r>
            <w:r>
              <w:rPr>
                <w:rFonts w:hint="default" w:ascii="Times New Roman" w:hAnsi="Times New Roman" w:cs="Times New Roman"/>
                <w:color w:val="auto"/>
                <w:highlight w:val="none"/>
                <w:lang w:val="en-US" w:eastAsia="zh-CN"/>
              </w:rPr>
              <w:t>本项目共有员工</w:t>
            </w:r>
            <w:r>
              <w:rPr>
                <w:rFonts w:hint="eastAsia" w:ascii="Times New Roman" w:hAnsi="Times New Roman" w:cs="Times New Roman"/>
                <w:color w:val="auto"/>
                <w:highlight w:val="none"/>
                <w:lang w:val="en-US" w:eastAsia="zh-CN"/>
              </w:rPr>
              <w:t>25</w:t>
            </w:r>
            <w:r>
              <w:rPr>
                <w:rFonts w:hint="default" w:ascii="Times New Roman" w:hAnsi="Times New Roman" w:cs="Times New Roman"/>
                <w:color w:val="auto"/>
                <w:highlight w:val="none"/>
                <w:lang w:val="en-US" w:eastAsia="zh-CN"/>
              </w:rPr>
              <w:t>人，</w:t>
            </w:r>
            <w:r>
              <w:rPr>
                <w:rFonts w:hint="eastAsia" w:ascii="Times New Roman" w:hAnsi="Times New Roman" w:cs="Times New Roman"/>
                <w:color w:val="auto"/>
                <w:highlight w:val="none"/>
                <w:lang w:val="en-US" w:eastAsia="zh-CN"/>
              </w:rPr>
              <w:t>一</w:t>
            </w:r>
            <w:r>
              <w:rPr>
                <w:rFonts w:hint="default" w:ascii="Times New Roman" w:hAnsi="Times New Roman" w:cs="Times New Roman"/>
                <w:color w:val="auto"/>
                <w:highlight w:val="none"/>
                <w:lang w:val="en-US" w:eastAsia="zh-CN"/>
              </w:rPr>
              <w:t>班制，每班工作8h，</w:t>
            </w:r>
            <w:r>
              <w:rPr>
                <w:rFonts w:hint="eastAsia" w:ascii="Times New Roman" w:hAnsi="Times New Roman" w:cs="Times New Roman"/>
                <w:color w:val="auto"/>
                <w:highlight w:val="none"/>
                <w:lang w:val="en-US" w:eastAsia="zh-CN"/>
              </w:rPr>
              <w:t>每年工作330d，</w:t>
            </w:r>
            <w:r>
              <w:rPr>
                <w:rFonts w:hint="default" w:ascii="Times New Roman" w:hAnsi="Times New Roman" w:eastAsia="宋体" w:cs="Times New Roman"/>
                <w:b w:val="0"/>
                <w:bCs w:val="0"/>
                <w:color w:val="auto"/>
                <w:sz w:val="24"/>
                <w:szCs w:val="24"/>
                <w:highlight w:val="none"/>
                <w:lang w:val="en-US" w:eastAsia="zh-CN"/>
              </w:rPr>
              <w:t>本项目员工生活用水参照</w:t>
            </w:r>
            <w:r>
              <w:rPr>
                <w:rFonts w:hint="default" w:ascii="Times New Roman" w:hAnsi="Times New Roman" w:cs="Times New Roman"/>
                <w:color w:val="auto"/>
                <w:sz w:val="24"/>
                <w:highlight w:val="none"/>
              </w:rPr>
              <w:t>参考《辽宁省行业用水定额》（DB21/T1237-2020）</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表176城镇居民生活用水定额，用水定额按45L·人/d计算</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生活用水量为</w:t>
            </w:r>
            <w:r>
              <w:rPr>
                <w:rFonts w:hint="eastAsia" w:ascii="Times New Roman" w:hAnsi="Times New Roman" w:cs="Times New Roman"/>
                <w:b w:val="0"/>
                <w:bCs w:val="0"/>
                <w:color w:val="auto"/>
                <w:sz w:val="24"/>
                <w:szCs w:val="24"/>
                <w:highlight w:val="none"/>
                <w:lang w:val="en-US" w:eastAsia="zh-CN"/>
              </w:rPr>
              <w:t>1.13</w:t>
            </w:r>
            <w:r>
              <w:rPr>
                <w:rFonts w:hint="default" w:ascii="Times New Roman" w:hAnsi="Times New Roman" w:cs="Times New Roman"/>
                <w:b w:val="0"/>
                <w:bCs w:val="0"/>
                <w:color w:val="auto"/>
                <w:sz w:val="24"/>
                <w:szCs w:val="24"/>
                <w:highlight w:val="none"/>
                <w:lang w:val="en-US" w:eastAsia="zh-CN"/>
              </w:rPr>
              <w:t>m</w:t>
            </w:r>
            <w:r>
              <w:rPr>
                <w:rFonts w:hint="default" w:ascii="Times New Roman" w:hAnsi="Times New Roman" w:cs="Times New Roman"/>
                <w:b w:val="0"/>
                <w:bCs w:val="0"/>
                <w:color w:val="auto"/>
                <w:sz w:val="24"/>
                <w:szCs w:val="24"/>
                <w:highlight w:val="none"/>
                <w:vertAlign w:val="superscript"/>
                <w:lang w:val="en-US" w:eastAsia="zh-CN"/>
              </w:rPr>
              <w:t>3</w:t>
            </w:r>
            <w:r>
              <w:rPr>
                <w:rFonts w:hint="default" w:ascii="Times New Roman" w:hAnsi="Times New Roman" w:cs="Times New Roman"/>
                <w:b w:val="0"/>
                <w:bCs w:val="0"/>
                <w:color w:val="auto"/>
                <w:sz w:val="24"/>
                <w:szCs w:val="24"/>
                <w:highlight w:val="none"/>
                <w:lang w:val="en-US" w:eastAsia="zh-CN"/>
              </w:rPr>
              <w:t>/d，</w:t>
            </w:r>
            <w:r>
              <w:rPr>
                <w:rFonts w:hint="eastAsia" w:ascii="Times New Roman" w:hAnsi="Times New Roman" w:cs="Times New Roman"/>
                <w:b w:val="0"/>
                <w:bCs w:val="0"/>
                <w:color w:val="auto"/>
                <w:sz w:val="24"/>
                <w:szCs w:val="24"/>
                <w:highlight w:val="none"/>
                <w:lang w:val="en-US" w:eastAsia="zh-CN"/>
              </w:rPr>
              <w:t>372.9</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/a，排水量按80%计算，为</w:t>
            </w:r>
            <w:r>
              <w:rPr>
                <w:rFonts w:hint="eastAsia" w:ascii="Times New Roman" w:hAnsi="Times New Roman" w:cs="Times New Roman"/>
                <w:b w:val="0"/>
                <w:bCs w:val="0"/>
                <w:color w:val="auto"/>
                <w:sz w:val="24"/>
                <w:szCs w:val="24"/>
                <w:highlight w:val="none"/>
                <w:lang w:val="en-US" w:eastAsia="zh-CN"/>
              </w:rPr>
              <w:t>0.904</w:t>
            </w:r>
            <w:r>
              <w:rPr>
                <w:rFonts w:hint="default" w:ascii="Times New Roman" w:hAnsi="Times New Roman" w:cs="Times New Roman"/>
                <w:b w:val="0"/>
                <w:bCs w:val="0"/>
                <w:color w:val="auto"/>
                <w:sz w:val="24"/>
                <w:szCs w:val="24"/>
                <w:highlight w:val="none"/>
                <w:lang w:val="en-US" w:eastAsia="zh-CN"/>
              </w:rPr>
              <w:t>m</w:t>
            </w:r>
            <w:r>
              <w:rPr>
                <w:rFonts w:hint="default" w:ascii="Times New Roman" w:hAnsi="Times New Roman" w:cs="Times New Roman"/>
                <w:b w:val="0"/>
                <w:bCs w:val="0"/>
                <w:color w:val="auto"/>
                <w:sz w:val="24"/>
                <w:szCs w:val="24"/>
                <w:highlight w:val="none"/>
                <w:vertAlign w:val="superscript"/>
                <w:lang w:val="en-US" w:eastAsia="zh-CN"/>
              </w:rPr>
              <w:t>3</w:t>
            </w:r>
            <w:r>
              <w:rPr>
                <w:rFonts w:hint="default" w:ascii="Times New Roman" w:hAnsi="Times New Roman" w:cs="Times New Roman"/>
                <w:b w:val="0"/>
                <w:bCs w:val="0"/>
                <w:color w:val="auto"/>
                <w:sz w:val="24"/>
                <w:szCs w:val="24"/>
                <w:highlight w:val="none"/>
                <w:lang w:val="en-US" w:eastAsia="zh-CN"/>
              </w:rPr>
              <w:t>/d，</w:t>
            </w:r>
            <w:r>
              <w:rPr>
                <w:rFonts w:hint="eastAsia" w:ascii="Times New Roman" w:hAnsi="Times New Roman" w:cs="Times New Roman"/>
                <w:b w:val="0"/>
                <w:bCs w:val="0"/>
                <w:color w:val="auto"/>
                <w:sz w:val="24"/>
                <w:szCs w:val="24"/>
                <w:highlight w:val="none"/>
                <w:lang w:val="en-US" w:eastAsia="zh-CN"/>
              </w:rPr>
              <w:t>298.3</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/a，生活污水</w:t>
            </w:r>
            <w:r>
              <w:rPr>
                <w:rFonts w:hint="default" w:ascii="Times New Roman" w:hAnsi="Times New Roman" w:eastAsia="宋体" w:cs="Times New Roman"/>
                <w:color w:val="auto"/>
                <w:kern w:val="2"/>
                <w:sz w:val="24"/>
                <w:szCs w:val="24"/>
                <w:highlight w:val="none"/>
                <w:lang w:val="en-US" w:eastAsia="zh-CN" w:bidi="ar-SA"/>
              </w:rPr>
              <w:t>排入</w:t>
            </w:r>
            <w:r>
              <w:rPr>
                <w:rFonts w:hint="eastAsia" w:ascii="Times New Roman" w:hAnsi="Times New Roman" w:eastAsia="宋体" w:cs="Times New Roman"/>
                <w:color w:val="auto"/>
                <w:kern w:val="2"/>
                <w:sz w:val="24"/>
                <w:szCs w:val="24"/>
                <w:highlight w:val="none"/>
                <w:lang w:val="en-US" w:eastAsia="zh-CN" w:bidi="ar-SA"/>
              </w:rPr>
              <w:t>厂区</w:t>
            </w:r>
            <w:r>
              <w:rPr>
                <w:rFonts w:hint="default" w:ascii="Times New Roman" w:hAnsi="Times New Roman" w:eastAsia="宋体" w:cs="Times New Roman"/>
                <w:color w:val="auto"/>
                <w:kern w:val="2"/>
                <w:sz w:val="24"/>
                <w:szCs w:val="24"/>
                <w:highlight w:val="none"/>
                <w:lang w:val="en-US" w:eastAsia="zh-CN" w:bidi="ar-SA"/>
              </w:rPr>
              <w:t>化粪池，经化粪池处理后排</w:t>
            </w:r>
            <w:r>
              <w:rPr>
                <w:rFonts w:hint="eastAsia" w:ascii="Times New Roman" w:hAnsi="Times New Roman" w:eastAsia="宋体" w:cs="Times New Roman"/>
                <w:color w:val="auto"/>
                <w:kern w:val="2"/>
                <w:sz w:val="24"/>
                <w:szCs w:val="24"/>
                <w:highlight w:val="none"/>
                <w:lang w:val="en-US" w:eastAsia="zh-CN" w:bidi="ar-SA"/>
              </w:rPr>
              <w:t>入</w:t>
            </w:r>
            <w:r>
              <w:rPr>
                <w:rFonts w:hint="default" w:ascii="Times New Roman" w:hAnsi="Times New Roman" w:eastAsia="宋体" w:cs="Times New Roman"/>
                <w:color w:val="auto"/>
                <w:kern w:val="2"/>
                <w:sz w:val="24"/>
                <w:szCs w:val="24"/>
                <w:highlight w:val="none"/>
                <w:lang w:val="en-US" w:eastAsia="zh-CN" w:bidi="ar-SA"/>
              </w:rPr>
              <w:t>市政下水管网，最终进入</w:t>
            </w:r>
            <w:r>
              <w:rPr>
                <w:rFonts w:hint="eastAsia" w:ascii="Times New Roman" w:hAnsi="Times New Roman" w:eastAsia="宋体" w:cs="Times New Roman"/>
                <w:color w:val="auto"/>
                <w:kern w:val="2"/>
                <w:sz w:val="24"/>
                <w:szCs w:val="24"/>
                <w:highlight w:val="none"/>
                <w:lang w:val="en-US" w:eastAsia="zh-CN" w:bidi="ar-SA"/>
              </w:rPr>
              <w:t>城镇污水处理厂</w:t>
            </w:r>
            <w:r>
              <w:rPr>
                <w:rFonts w:hint="default" w:ascii="Times New Roman" w:hAnsi="Times New Roman" w:eastAsia="宋体" w:cs="Times New Roman"/>
                <w:color w:val="auto"/>
                <w:kern w:val="2"/>
                <w:sz w:val="24"/>
                <w:szCs w:val="24"/>
                <w:highlight w:val="none"/>
                <w:lang w:val="en-US" w:eastAsia="zh-CN" w:bidi="ar-SA"/>
              </w:rPr>
              <w:t>。</w:t>
            </w:r>
          </w:p>
          <w:p w14:paraId="1B90B422">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360" w:lineRule="auto"/>
              <w:ind w:left="0" w:leftChars="0" w:right="0" w:rightChars="0" w:firstLine="480" w:firstLineChars="200"/>
              <w:jc w:val="both"/>
              <w:textAlignment w:val="auto"/>
              <w:outlineLvl w:val="9"/>
              <w:rPr>
                <w:rFonts w:hint="eastAsia" w:ascii="宋体" w:hAnsi="宋体" w:cs="宋体"/>
                <w:color w:val="auto"/>
                <w:kern w:val="2"/>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
              </w:rPr>
              <w:t>员工生活污水主要污染因子为</w:t>
            </w:r>
            <w:r>
              <w:rPr>
                <w:rFonts w:hint="default" w:ascii="Times New Roman" w:hAnsi="Times New Roman" w:eastAsia="宋体" w:cs="Times New Roman"/>
                <w:color w:val="auto"/>
                <w:kern w:val="2"/>
                <w:sz w:val="24"/>
                <w:szCs w:val="24"/>
                <w:highlight w:val="none"/>
                <w:lang w:val="en-US" w:eastAsia="zh-CN" w:bidi="ar"/>
              </w:rPr>
              <w:t>COD</w:t>
            </w:r>
            <w:r>
              <w:rPr>
                <w:rFonts w:hint="eastAsia" w:ascii="Times New Roman" w:hAnsi="Times New Roman" w:eastAsia="宋体"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BOD</w:t>
            </w:r>
            <w:r>
              <w:rPr>
                <w:rFonts w:hint="default" w:ascii="Times New Roman" w:hAnsi="Times New Roman" w:eastAsia="宋体" w:cs="Times New Roman"/>
                <w:color w:val="auto"/>
                <w:kern w:val="2"/>
                <w:sz w:val="24"/>
                <w:szCs w:val="24"/>
                <w:highlight w:val="none"/>
                <w:vertAlign w:val="subscript"/>
                <w:lang w:val="en-US" w:eastAsia="zh-CN" w:bidi="ar"/>
              </w:rPr>
              <w:t>5</w:t>
            </w:r>
            <w:r>
              <w:rPr>
                <w:rFonts w:hint="eastAsia" w:ascii="Times New Roman" w:hAnsi="Times New Roman" w:eastAsia="宋体" w:cs="Times New Roman"/>
                <w:color w:val="auto"/>
                <w:kern w:val="2"/>
                <w:sz w:val="24"/>
                <w:szCs w:val="24"/>
                <w:highlight w:val="none"/>
                <w:lang w:val="en-US" w:eastAsia="zh-CN" w:bidi="ar"/>
              </w:rPr>
              <w:t>、氨氮、</w:t>
            </w:r>
            <w:r>
              <w:rPr>
                <w:rFonts w:hint="default" w:ascii="Times New Roman" w:hAnsi="Times New Roman" w:eastAsia="宋体" w:cs="Times New Roman"/>
                <w:color w:val="auto"/>
                <w:kern w:val="2"/>
                <w:sz w:val="24"/>
                <w:szCs w:val="24"/>
                <w:highlight w:val="none"/>
                <w:lang w:val="en-US" w:eastAsia="zh-CN" w:bidi="ar"/>
              </w:rPr>
              <w:t>SS</w:t>
            </w:r>
            <w:r>
              <w:rPr>
                <w:rFonts w:hint="eastAsia" w:cs="Times New Roman"/>
                <w:color w:val="auto"/>
                <w:kern w:val="2"/>
                <w:sz w:val="24"/>
                <w:szCs w:val="24"/>
                <w:highlight w:val="none"/>
                <w:lang w:val="en-US" w:eastAsia="zh-CN" w:bidi="ar"/>
              </w:rPr>
              <w:t>及TP</w:t>
            </w:r>
            <w:r>
              <w:rPr>
                <w:rFonts w:hint="eastAsia" w:ascii="Times New Roman" w:hAnsi="Times New Roman" w:eastAsia="宋体" w:cs="Times New Roman"/>
                <w:color w:val="auto"/>
                <w:kern w:val="2"/>
                <w:sz w:val="24"/>
                <w:szCs w:val="24"/>
                <w:highlight w:val="none"/>
                <w:lang w:val="en-US" w:eastAsia="zh-CN" w:bidi="ar"/>
              </w:rPr>
              <w:t>，参考《给排水设计手册（第5册）城镇排水》中：“表4-1</w:t>
            </w:r>
            <w:r>
              <w:rPr>
                <w:rFonts w:hint="eastAsia" w:cs="Times New Roman"/>
                <w:color w:val="auto"/>
                <w:kern w:val="2"/>
                <w:sz w:val="24"/>
                <w:szCs w:val="24"/>
                <w:highlight w:val="none"/>
                <w:lang w:val="en-US" w:eastAsia="zh-CN" w:bidi="ar"/>
              </w:rPr>
              <w:t>典型</w:t>
            </w:r>
            <w:r>
              <w:rPr>
                <w:rFonts w:hint="eastAsia" w:ascii="Times New Roman" w:hAnsi="Times New Roman" w:eastAsia="宋体" w:cs="Times New Roman"/>
                <w:color w:val="auto"/>
                <w:kern w:val="2"/>
                <w:sz w:val="24"/>
                <w:szCs w:val="24"/>
                <w:highlight w:val="none"/>
                <w:lang w:val="en-US" w:eastAsia="zh-CN" w:bidi="ar"/>
              </w:rPr>
              <w:t>生活污水水质示例”</w:t>
            </w:r>
            <w:r>
              <w:rPr>
                <w:rFonts w:hint="eastAsia" w:cs="Times New Roman"/>
                <w:color w:val="auto"/>
                <w:kern w:val="2"/>
                <w:sz w:val="24"/>
                <w:szCs w:val="24"/>
                <w:highlight w:val="none"/>
                <w:lang w:val="en-US" w:eastAsia="zh-CN" w:bidi="ar"/>
              </w:rPr>
              <w:t>以及《生活源产排污核算系数手册》</w:t>
            </w:r>
            <w:r>
              <w:rPr>
                <w:rFonts w:hint="eastAsia" w:ascii="Times New Roman" w:hAnsi="Times New Roman" w:eastAsia="宋体" w:cs="Times New Roman"/>
                <w:color w:val="auto"/>
                <w:kern w:val="2"/>
                <w:sz w:val="24"/>
                <w:szCs w:val="24"/>
                <w:highlight w:val="none"/>
                <w:lang w:val="en-US" w:eastAsia="zh-CN" w:bidi="ar"/>
              </w:rPr>
              <w:t>给出员工生活污水各污染因子产生浓度。</w:t>
            </w:r>
            <w:r>
              <w:rPr>
                <w:rFonts w:hint="eastAsia" w:ascii="宋体" w:hAnsi="宋体" w:cs="宋体"/>
                <w:color w:val="auto"/>
                <w:kern w:val="2"/>
                <w:sz w:val="24"/>
                <w:szCs w:val="24"/>
                <w:highlight w:val="none"/>
                <w:lang w:val="en-US" w:eastAsia="zh-CN" w:bidi="ar"/>
              </w:rPr>
              <w:t>具体产污情况如下表所示。</w:t>
            </w:r>
          </w:p>
          <w:p w14:paraId="78ED1EA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cs="宋体"/>
                <w:color w:val="auto"/>
                <w:kern w:val="2"/>
                <w:sz w:val="24"/>
                <w:szCs w:val="24"/>
                <w:highlight w:val="none"/>
                <w:lang w:val="en-US" w:eastAsia="zh-CN" w:bidi="ar"/>
              </w:rPr>
            </w:pPr>
            <w:r>
              <w:rPr>
                <w:rFonts w:hint="eastAsia" w:ascii="黑体" w:hAnsi="黑体" w:eastAsia="黑体" w:cs="黑体"/>
                <w:color w:val="auto"/>
                <w:kern w:val="2"/>
                <w:sz w:val="21"/>
                <w:szCs w:val="21"/>
                <w:highlight w:val="none"/>
                <w:lang w:val="en-US" w:eastAsia="zh-CN" w:bidi="ar"/>
              </w:rPr>
              <w:t>表4-4员工生活污水污染因子产生情况一览表</w:t>
            </w:r>
          </w:p>
          <w:tbl>
            <w:tblPr>
              <w:tblStyle w:val="25"/>
              <w:tblW w:w="4995"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1468"/>
              <w:gridCol w:w="2575"/>
              <w:gridCol w:w="1922"/>
            </w:tblGrid>
            <w:tr w14:paraId="2BFA6B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118" w:type="pct"/>
                  <w:tcBorders>
                    <w:tl2br w:val="nil"/>
                    <w:tr2bl w:val="nil"/>
                  </w:tcBorders>
                  <w:noWrap w:val="0"/>
                  <w:vAlign w:val="center"/>
                </w:tcPr>
                <w:p w14:paraId="670B7161">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污水产生量t/a</w:t>
                  </w:r>
                </w:p>
              </w:tc>
              <w:tc>
                <w:tcPr>
                  <w:tcW w:w="955" w:type="pct"/>
                  <w:tcBorders>
                    <w:tl2br w:val="nil"/>
                    <w:tr2bl w:val="nil"/>
                  </w:tcBorders>
                  <w:noWrap w:val="0"/>
                  <w:vAlign w:val="center"/>
                </w:tcPr>
                <w:p w14:paraId="0845E0BB">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主要污染因子</w:t>
                  </w:r>
                </w:p>
              </w:tc>
              <w:tc>
                <w:tcPr>
                  <w:tcW w:w="1675" w:type="pct"/>
                  <w:tcBorders>
                    <w:tl2br w:val="nil"/>
                    <w:tr2bl w:val="nil"/>
                  </w:tcBorders>
                  <w:noWrap w:val="0"/>
                  <w:vAlign w:val="center"/>
                </w:tcPr>
                <w:p w14:paraId="070D4077">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污染因子产生浓度</w:t>
                  </w:r>
                  <w:r>
                    <w:rPr>
                      <w:rFonts w:hint="default" w:ascii="Times New Roman" w:hAnsi="Times New Roman" w:eastAsia="宋体" w:cs="Times New Roman"/>
                      <w:color w:val="auto"/>
                      <w:kern w:val="2"/>
                      <w:sz w:val="21"/>
                      <w:szCs w:val="21"/>
                      <w:highlight w:val="none"/>
                      <w:lang w:val="en-US" w:eastAsia="zh-CN" w:bidi="ar"/>
                    </w:rPr>
                    <w:t>mg/L</w:t>
                  </w:r>
                </w:p>
              </w:tc>
              <w:tc>
                <w:tcPr>
                  <w:tcW w:w="1250" w:type="pct"/>
                  <w:tcBorders>
                    <w:tl2br w:val="nil"/>
                    <w:tr2bl w:val="nil"/>
                  </w:tcBorders>
                  <w:noWrap w:val="0"/>
                  <w:vAlign w:val="center"/>
                </w:tcPr>
                <w:p w14:paraId="1F5410B3">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污染因子产生量t/a</w:t>
                  </w:r>
                </w:p>
              </w:tc>
            </w:tr>
            <w:tr w14:paraId="2E1FD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8" w:type="pct"/>
                  <w:vMerge w:val="restart"/>
                  <w:tcBorders>
                    <w:tl2br w:val="nil"/>
                    <w:tr2bl w:val="nil"/>
                  </w:tcBorders>
                  <w:noWrap w:val="0"/>
                  <w:vAlign w:val="center"/>
                </w:tcPr>
                <w:p w14:paraId="31BBCAF4">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298.3</w:t>
                  </w:r>
                </w:p>
              </w:tc>
              <w:tc>
                <w:tcPr>
                  <w:tcW w:w="955" w:type="pct"/>
                  <w:tcBorders>
                    <w:tl2br w:val="nil"/>
                    <w:tr2bl w:val="nil"/>
                  </w:tcBorders>
                  <w:noWrap w:val="0"/>
                  <w:vAlign w:val="center"/>
                </w:tcPr>
                <w:p w14:paraId="2C77A516">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COD</w:t>
                  </w:r>
                </w:p>
              </w:tc>
              <w:tc>
                <w:tcPr>
                  <w:tcW w:w="1675" w:type="pct"/>
                  <w:tcBorders>
                    <w:tl2br w:val="nil"/>
                    <w:tr2bl w:val="nil"/>
                  </w:tcBorders>
                  <w:noWrap w:val="0"/>
                  <w:vAlign w:val="center"/>
                </w:tcPr>
                <w:p w14:paraId="72629DF1">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0</w:t>
                  </w:r>
                  <w:r>
                    <w:rPr>
                      <w:rFonts w:hint="default" w:ascii="Times New Roman" w:hAnsi="Times New Roman" w:eastAsia="宋体" w:cs="Times New Roman"/>
                      <w:color w:val="auto"/>
                      <w:sz w:val="21"/>
                      <w:szCs w:val="21"/>
                      <w:highlight w:val="none"/>
                      <w:vertAlign w:val="baseline"/>
                      <w:lang w:val="en-US" w:eastAsia="zh-CN"/>
                    </w:rPr>
                    <w:t>0</w:t>
                  </w:r>
                </w:p>
              </w:tc>
              <w:tc>
                <w:tcPr>
                  <w:tcW w:w="1250" w:type="pct"/>
                  <w:tcBorders>
                    <w:tl2br w:val="nil"/>
                    <w:tr2bl w:val="nil"/>
                  </w:tcBorders>
                  <w:noWrap w:val="0"/>
                  <w:vAlign w:val="center"/>
                </w:tcPr>
                <w:p w14:paraId="13AC4427">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0.089</w:t>
                  </w:r>
                </w:p>
              </w:tc>
            </w:tr>
            <w:tr w14:paraId="24DB9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8" w:type="pct"/>
                  <w:vMerge w:val="continue"/>
                  <w:tcBorders>
                    <w:tl2br w:val="nil"/>
                    <w:tr2bl w:val="nil"/>
                  </w:tcBorders>
                  <w:noWrap w:val="0"/>
                  <w:vAlign w:val="center"/>
                </w:tcPr>
                <w:p w14:paraId="10DB7C2C">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955" w:type="pct"/>
                  <w:tcBorders>
                    <w:tl2br w:val="nil"/>
                    <w:tr2bl w:val="nil"/>
                  </w:tcBorders>
                  <w:noWrap w:val="0"/>
                  <w:vAlign w:val="center"/>
                </w:tcPr>
                <w:p w14:paraId="267A0232">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BOD</w:t>
                  </w:r>
                  <w:r>
                    <w:rPr>
                      <w:rFonts w:hint="default" w:ascii="Times New Roman" w:hAnsi="Times New Roman" w:eastAsia="宋体" w:cs="Times New Roman"/>
                      <w:color w:val="auto"/>
                      <w:kern w:val="2"/>
                      <w:sz w:val="21"/>
                      <w:szCs w:val="21"/>
                      <w:highlight w:val="none"/>
                      <w:vertAlign w:val="subscript"/>
                      <w:lang w:val="en-US" w:eastAsia="zh-CN" w:bidi="ar"/>
                    </w:rPr>
                    <w:t>5</w:t>
                  </w:r>
                </w:p>
              </w:tc>
              <w:tc>
                <w:tcPr>
                  <w:tcW w:w="1675" w:type="pct"/>
                  <w:tcBorders>
                    <w:tl2br w:val="nil"/>
                    <w:tr2bl w:val="nil"/>
                  </w:tcBorders>
                  <w:noWrap w:val="0"/>
                  <w:vAlign w:val="center"/>
                </w:tcPr>
                <w:p w14:paraId="118070FC">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250</w:t>
                  </w:r>
                </w:p>
              </w:tc>
              <w:tc>
                <w:tcPr>
                  <w:tcW w:w="1250" w:type="pct"/>
                  <w:tcBorders>
                    <w:tl2br w:val="nil"/>
                    <w:tr2bl w:val="nil"/>
                  </w:tcBorders>
                  <w:noWrap w:val="0"/>
                  <w:vAlign w:val="center"/>
                </w:tcPr>
                <w:p w14:paraId="21D562B1">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0.075</w:t>
                  </w:r>
                </w:p>
              </w:tc>
            </w:tr>
            <w:tr w14:paraId="344E8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8" w:type="pct"/>
                  <w:vMerge w:val="continue"/>
                  <w:tcBorders>
                    <w:tl2br w:val="nil"/>
                    <w:tr2bl w:val="nil"/>
                  </w:tcBorders>
                  <w:noWrap w:val="0"/>
                  <w:vAlign w:val="center"/>
                </w:tcPr>
                <w:p w14:paraId="3F068DE2">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955" w:type="pct"/>
                  <w:tcBorders>
                    <w:tl2br w:val="nil"/>
                    <w:tr2bl w:val="nil"/>
                  </w:tcBorders>
                  <w:noWrap w:val="0"/>
                  <w:vAlign w:val="center"/>
                </w:tcPr>
                <w:p w14:paraId="7863301D">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SS</w:t>
                  </w:r>
                </w:p>
              </w:tc>
              <w:tc>
                <w:tcPr>
                  <w:tcW w:w="1675" w:type="pct"/>
                  <w:tcBorders>
                    <w:tl2br w:val="nil"/>
                    <w:tr2bl w:val="nil"/>
                  </w:tcBorders>
                  <w:noWrap w:val="0"/>
                  <w:vAlign w:val="center"/>
                </w:tcPr>
                <w:p w14:paraId="63553D82">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22</w:t>
                  </w:r>
                  <w:r>
                    <w:rPr>
                      <w:rFonts w:hint="default" w:ascii="Times New Roman" w:hAnsi="Times New Roman" w:eastAsia="宋体" w:cs="Times New Roman"/>
                      <w:color w:val="auto"/>
                      <w:sz w:val="21"/>
                      <w:szCs w:val="21"/>
                      <w:highlight w:val="none"/>
                      <w:vertAlign w:val="baseline"/>
                      <w:lang w:val="en-US" w:eastAsia="zh-CN"/>
                    </w:rPr>
                    <w:t>0</w:t>
                  </w:r>
                </w:p>
              </w:tc>
              <w:tc>
                <w:tcPr>
                  <w:tcW w:w="1250" w:type="pct"/>
                  <w:tcBorders>
                    <w:tl2br w:val="nil"/>
                    <w:tr2bl w:val="nil"/>
                  </w:tcBorders>
                  <w:noWrap w:val="0"/>
                  <w:vAlign w:val="center"/>
                </w:tcPr>
                <w:p w14:paraId="534F7E27">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0.066</w:t>
                  </w:r>
                </w:p>
              </w:tc>
            </w:tr>
            <w:tr w14:paraId="1CC912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8" w:type="pct"/>
                  <w:vMerge w:val="continue"/>
                  <w:tcBorders>
                    <w:tl2br w:val="nil"/>
                    <w:tr2bl w:val="nil"/>
                  </w:tcBorders>
                  <w:noWrap w:val="0"/>
                  <w:vAlign w:val="center"/>
                </w:tcPr>
                <w:p w14:paraId="0989C2A3">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955" w:type="pct"/>
                  <w:tcBorders>
                    <w:tl2br w:val="nil"/>
                    <w:tr2bl w:val="nil"/>
                  </w:tcBorders>
                  <w:noWrap w:val="0"/>
                  <w:vAlign w:val="center"/>
                </w:tcPr>
                <w:p w14:paraId="61032C2D">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NH</w:t>
                  </w:r>
                  <w:r>
                    <w:rPr>
                      <w:rFonts w:hint="default" w:ascii="Times New Roman" w:hAnsi="Times New Roman" w:eastAsia="宋体" w:cs="Times New Roman"/>
                      <w:color w:val="auto"/>
                      <w:kern w:val="2"/>
                      <w:sz w:val="21"/>
                      <w:szCs w:val="21"/>
                      <w:highlight w:val="none"/>
                      <w:vertAlign w:val="subscript"/>
                      <w:lang w:val="en-US" w:eastAsia="zh-CN" w:bidi="ar"/>
                    </w:rPr>
                    <w:t>3</w:t>
                  </w:r>
                  <w:r>
                    <w:rPr>
                      <w:rFonts w:hint="default" w:ascii="Times New Roman" w:hAnsi="Times New Roman" w:eastAsia="宋体" w:cs="Times New Roman"/>
                      <w:color w:val="auto"/>
                      <w:kern w:val="2"/>
                      <w:sz w:val="21"/>
                      <w:szCs w:val="21"/>
                      <w:highlight w:val="none"/>
                      <w:lang w:val="en-US" w:eastAsia="zh-CN" w:bidi="ar"/>
                    </w:rPr>
                    <w:t>-N</w:t>
                  </w:r>
                </w:p>
              </w:tc>
              <w:tc>
                <w:tcPr>
                  <w:tcW w:w="1675" w:type="pct"/>
                  <w:tcBorders>
                    <w:tl2br w:val="nil"/>
                    <w:tr2bl w:val="nil"/>
                  </w:tcBorders>
                  <w:noWrap w:val="0"/>
                  <w:vAlign w:val="center"/>
                </w:tcPr>
                <w:p w14:paraId="3AF50EA1">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30</w:t>
                  </w:r>
                </w:p>
              </w:tc>
              <w:tc>
                <w:tcPr>
                  <w:tcW w:w="1250" w:type="pct"/>
                  <w:tcBorders>
                    <w:tl2br w:val="nil"/>
                    <w:tr2bl w:val="nil"/>
                  </w:tcBorders>
                  <w:noWrap w:val="0"/>
                  <w:vAlign w:val="center"/>
                </w:tcPr>
                <w:p w14:paraId="415E60A5">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0.009</w:t>
                  </w:r>
                </w:p>
              </w:tc>
            </w:tr>
            <w:tr w14:paraId="05F7C3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8" w:type="pct"/>
                  <w:vMerge w:val="continue"/>
                  <w:tcBorders>
                    <w:tl2br w:val="nil"/>
                    <w:tr2bl w:val="nil"/>
                  </w:tcBorders>
                  <w:noWrap w:val="0"/>
                  <w:vAlign w:val="center"/>
                </w:tcPr>
                <w:p w14:paraId="27AE729A">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955" w:type="pct"/>
                  <w:tcBorders>
                    <w:tl2br w:val="nil"/>
                    <w:tr2bl w:val="nil"/>
                  </w:tcBorders>
                  <w:noWrap w:val="0"/>
                  <w:vAlign w:val="center"/>
                </w:tcPr>
                <w:p w14:paraId="1D121223">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TP</w:t>
                  </w:r>
                </w:p>
              </w:tc>
              <w:tc>
                <w:tcPr>
                  <w:tcW w:w="1675" w:type="pct"/>
                  <w:tcBorders>
                    <w:tl2br w:val="nil"/>
                    <w:tr2bl w:val="nil"/>
                  </w:tcBorders>
                  <w:noWrap w:val="0"/>
                  <w:vAlign w:val="center"/>
                </w:tcPr>
                <w:p w14:paraId="717CB92F">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cs="Times New Roman"/>
                      <w:color w:val="auto"/>
                      <w:sz w:val="21"/>
                      <w:szCs w:val="21"/>
                      <w:highlight w:val="none"/>
                      <w:vertAlign w:val="baseline"/>
                      <w:lang w:val="en-US" w:eastAsia="zh-CN"/>
                    </w:rPr>
                    <w:t>4.42</w:t>
                  </w:r>
                </w:p>
              </w:tc>
              <w:tc>
                <w:tcPr>
                  <w:tcW w:w="1250" w:type="pct"/>
                  <w:tcBorders>
                    <w:tl2br w:val="nil"/>
                    <w:tr2bl w:val="nil"/>
                  </w:tcBorders>
                  <w:noWrap w:val="0"/>
                  <w:vAlign w:val="center"/>
                </w:tcPr>
                <w:p w14:paraId="46079340">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0.0013</w:t>
                  </w:r>
                </w:p>
              </w:tc>
            </w:tr>
          </w:tbl>
          <w:p w14:paraId="504A47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本项目生活废水排入园区化粪池处理后，经生活污水排放口排放。</w:t>
            </w:r>
            <w:r>
              <w:rPr>
                <w:rFonts w:hint="eastAsia" w:cs="Times New Roman"/>
                <w:color w:val="auto"/>
                <w:kern w:val="2"/>
                <w:sz w:val="24"/>
                <w:szCs w:val="24"/>
                <w:highlight w:val="none"/>
                <w:lang w:val="en-US" w:eastAsia="zh-CN" w:bidi="ar-SA"/>
              </w:rPr>
              <w:t>生活污水污染物排放情况如下表所示。</w:t>
            </w:r>
          </w:p>
          <w:p w14:paraId="162267E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黑体" w:hAnsi="黑体" w:eastAsia="黑体" w:cs="黑体"/>
                <w:color w:val="auto"/>
                <w:kern w:val="2"/>
                <w:sz w:val="21"/>
                <w:szCs w:val="21"/>
                <w:highlight w:val="none"/>
                <w:lang w:val="en-US" w:eastAsia="zh-CN" w:bidi="ar"/>
              </w:rPr>
            </w:pPr>
            <w:r>
              <w:rPr>
                <w:rFonts w:hint="eastAsia" w:ascii="黑体" w:hAnsi="黑体" w:eastAsia="黑体" w:cs="黑体"/>
                <w:color w:val="auto"/>
                <w:kern w:val="2"/>
                <w:sz w:val="21"/>
                <w:szCs w:val="21"/>
                <w:highlight w:val="none"/>
                <w:lang w:val="en-US" w:eastAsia="zh-CN" w:bidi="ar"/>
              </w:rPr>
              <w:t>表4-5生活污水污染物排放情况一览表</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4"/>
              <w:gridCol w:w="854"/>
              <w:gridCol w:w="854"/>
              <w:gridCol w:w="854"/>
              <w:gridCol w:w="854"/>
              <w:gridCol w:w="771"/>
              <w:gridCol w:w="937"/>
              <w:gridCol w:w="854"/>
              <w:gridCol w:w="857"/>
            </w:tblGrid>
            <w:tr w14:paraId="177E3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pct"/>
                  <w:tcBorders>
                    <w:tl2br w:val="nil"/>
                    <w:tr2bl w:val="nil"/>
                  </w:tcBorders>
                  <w:vAlign w:val="center"/>
                </w:tcPr>
                <w:p w14:paraId="132E32F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废水量</w:t>
                  </w:r>
                  <w:r>
                    <w:rPr>
                      <w:rFonts w:hint="default" w:ascii="Times New Roman" w:hAnsi="Times New Roman" w:eastAsia="宋体" w:cs="Times New Roman"/>
                      <w:color w:val="auto"/>
                      <w:sz w:val="21"/>
                      <w:szCs w:val="21"/>
                      <w:highlight w:val="none"/>
                      <w:vertAlign w:val="baseline"/>
                      <w:lang w:val="en-US" w:eastAsia="zh-CN"/>
                    </w:rPr>
                    <w:t>t/a</w:t>
                  </w:r>
                </w:p>
              </w:tc>
              <w:tc>
                <w:tcPr>
                  <w:tcW w:w="555" w:type="pct"/>
                  <w:tcBorders>
                    <w:tl2br w:val="nil"/>
                    <w:tr2bl w:val="nil"/>
                  </w:tcBorders>
                  <w:vAlign w:val="center"/>
                </w:tcPr>
                <w:p w14:paraId="4590E50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污染因子</w:t>
                  </w:r>
                </w:p>
              </w:tc>
              <w:tc>
                <w:tcPr>
                  <w:tcW w:w="555" w:type="pct"/>
                  <w:tcBorders>
                    <w:tl2br w:val="nil"/>
                    <w:tr2bl w:val="nil"/>
                  </w:tcBorders>
                  <w:vAlign w:val="center"/>
                </w:tcPr>
                <w:p w14:paraId="749F97E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产生浓度mg/L</w:t>
                  </w:r>
                </w:p>
              </w:tc>
              <w:tc>
                <w:tcPr>
                  <w:tcW w:w="555" w:type="pct"/>
                  <w:tcBorders>
                    <w:tl2br w:val="nil"/>
                    <w:tr2bl w:val="nil"/>
                  </w:tcBorders>
                  <w:vAlign w:val="center"/>
                </w:tcPr>
                <w:p w14:paraId="00271807">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color w:val="auto"/>
                      <w:highlight w:val="none"/>
                      <w:lang w:val="en-US" w:eastAsia="zh-CN"/>
                    </w:rPr>
                  </w:pPr>
                  <w:r>
                    <w:rPr>
                      <w:rFonts w:hint="eastAsia"/>
                      <w:color w:val="auto"/>
                      <w:sz w:val="21"/>
                      <w:szCs w:val="21"/>
                      <w:highlight w:val="none"/>
                      <w:vertAlign w:val="baseline"/>
                      <w:lang w:val="en-US" w:eastAsia="zh-CN"/>
                    </w:rPr>
                    <w:t>产生量t/a</w:t>
                  </w:r>
                </w:p>
              </w:tc>
              <w:tc>
                <w:tcPr>
                  <w:tcW w:w="555" w:type="pct"/>
                  <w:tcBorders>
                    <w:tl2br w:val="nil"/>
                    <w:tr2bl w:val="nil"/>
                  </w:tcBorders>
                  <w:vAlign w:val="center"/>
                </w:tcPr>
                <w:p w14:paraId="1C59970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化粪池去除效率%</w:t>
                  </w:r>
                </w:p>
              </w:tc>
              <w:tc>
                <w:tcPr>
                  <w:tcW w:w="501" w:type="pct"/>
                  <w:tcBorders>
                    <w:tl2br w:val="nil"/>
                    <w:tr2bl w:val="nil"/>
                  </w:tcBorders>
                  <w:vAlign w:val="center"/>
                </w:tcPr>
                <w:p w14:paraId="32965A5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排放浓度mg/L</w:t>
                  </w:r>
                </w:p>
              </w:tc>
              <w:tc>
                <w:tcPr>
                  <w:tcW w:w="609" w:type="pct"/>
                  <w:tcBorders>
                    <w:tl2br w:val="nil"/>
                    <w:tr2bl w:val="nil"/>
                  </w:tcBorders>
                  <w:vAlign w:val="center"/>
                </w:tcPr>
                <w:p w14:paraId="36E1C1D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排放量t/a</w:t>
                  </w:r>
                </w:p>
              </w:tc>
              <w:tc>
                <w:tcPr>
                  <w:tcW w:w="555" w:type="pct"/>
                  <w:tcBorders>
                    <w:tl2br w:val="nil"/>
                    <w:tr2bl w:val="nil"/>
                  </w:tcBorders>
                  <w:vAlign w:val="center"/>
                </w:tcPr>
                <w:p w14:paraId="277CE22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标准限值mg/L</w:t>
                  </w:r>
                </w:p>
              </w:tc>
              <w:tc>
                <w:tcPr>
                  <w:tcW w:w="557" w:type="pct"/>
                  <w:tcBorders>
                    <w:tl2br w:val="nil"/>
                    <w:tr2bl w:val="nil"/>
                  </w:tcBorders>
                  <w:vAlign w:val="center"/>
                </w:tcPr>
                <w:p w14:paraId="4056018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达标排放情况</w:t>
                  </w:r>
                </w:p>
              </w:tc>
            </w:tr>
            <w:tr w14:paraId="3E63A7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55" w:type="pct"/>
                  <w:vMerge w:val="restart"/>
                  <w:tcBorders>
                    <w:tl2br w:val="nil"/>
                    <w:tr2bl w:val="nil"/>
                  </w:tcBorders>
                  <w:vAlign w:val="center"/>
                </w:tcPr>
                <w:p w14:paraId="12E5CE7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298.3</w:t>
                  </w:r>
                </w:p>
              </w:tc>
              <w:tc>
                <w:tcPr>
                  <w:tcW w:w="555" w:type="pct"/>
                  <w:tcBorders>
                    <w:tl2br w:val="nil"/>
                    <w:tr2bl w:val="nil"/>
                  </w:tcBorders>
                  <w:vAlign w:val="center"/>
                </w:tcPr>
                <w:p w14:paraId="2ADF8032">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COD</w:t>
                  </w:r>
                </w:p>
              </w:tc>
              <w:tc>
                <w:tcPr>
                  <w:tcW w:w="555" w:type="pct"/>
                  <w:tcBorders>
                    <w:tl2br w:val="nil"/>
                    <w:tr2bl w:val="nil"/>
                  </w:tcBorders>
                  <w:vAlign w:val="center"/>
                </w:tcPr>
                <w:p w14:paraId="49EC6867">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0</w:t>
                  </w:r>
                  <w:r>
                    <w:rPr>
                      <w:rFonts w:hint="default" w:ascii="Times New Roman" w:hAnsi="Times New Roman" w:eastAsia="宋体" w:cs="Times New Roman"/>
                      <w:color w:val="auto"/>
                      <w:sz w:val="21"/>
                      <w:szCs w:val="21"/>
                      <w:highlight w:val="none"/>
                      <w:vertAlign w:val="baseline"/>
                      <w:lang w:val="en-US" w:eastAsia="zh-CN"/>
                    </w:rPr>
                    <w:t>0</w:t>
                  </w:r>
                </w:p>
              </w:tc>
              <w:tc>
                <w:tcPr>
                  <w:tcW w:w="555" w:type="pct"/>
                  <w:tcBorders>
                    <w:tl2br w:val="nil"/>
                    <w:tr2bl w:val="nil"/>
                  </w:tcBorders>
                  <w:vAlign w:val="center"/>
                </w:tcPr>
                <w:p w14:paraId="5C330FA1">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0.089</w:t>
                  </w:r>
                </w:p>
              </w:tc>
              <w:tc>
                <w:tcPr>
                  <w:tcW w:w="555" w:type="pct"/>
                  <w:tcBorders>
                    <w:tl2br w:val="nil"/>
                    <w:tr2bl w:val="nil"/>
                  </w:tcBorders>
                  <w:vAlign w:val="center"/>
                </w:tcPr>
                <w:p w14:paraId="747C24A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10</w:t>
                  </w:r>
                </w:p>
              </w:tc>
              <w:tc>
                <w:tcPr>
                  <w:tcW w:w="501" w:type="pct"/>
                  <w:tcBorders>
                    <w:tl2br w:val="nil"/>
                    <w:tr2bl w:val="nil"/>
                  </w:tcBorders>
                  <w:vAlign w:val="center"/>
                </w:tcPr>
                <w:p w14:paraId="728F239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270</w:t>
                  </w:r>
                </w:p>
              </w:tc>
              <w:tc>
                <w:tcPr>
                  <w:tcW w:w="609" w:type="pct"/>
                  <w:tcBorders>
                    <w:tl2br w:val="nil"/>
                    <w:tr2bl w:val="nil"/>
                  </w:tcBorders>
                  <w:vAlign w:val="center"/>
                </w:tcPr>
                <w:p w14:paraId="502FF73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0.081</w:t>
                  </w:r>
                </w:p>
              </w:tc>
              <w:tc>
                <w:tcPr>
                  <w:tcW w:w="555" w:type="pct"/>
                  <w:tcBorders>
                    <w:tl2br w:val="nil"/>
                    <w:tr2bl w:val="nil"/>
                  </w:tcBorders>
                  <w:vAlign w:val="center"/>
                </w:tcPr>
                <w:p w14:paraId="3DD2516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300</w:t>
                  </w:r>
                </w:p>
              </w:tc>
              <w:tc>
                <w:tcPr>
                  <w:tcW w:w="557" w:type="pct"/>
                  <w:tcBorders>
                    <w:tl2br w:val="nil"/>
                    <w:tr2bl w:val="nil"/>
                  </w:tcBorders>
                  <w:vAlign w:val="center"/>
                </w:tcPr>
                <w:p w14:paraId="313ABF2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5E877A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pct"/>
                  <w:vMerge w:val="continue"/>
                  <w:tcBorders>
                    <w:tl2br w:val="nil"/>
                    <w:tr2bl w:val="nil"/>
                  </w:tcBorders>
                  <w:vAlign w:val="center"/>
                </w:tcPr>
                <w:p w14:paraId="3A0DAED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p>
              </w:tc>
              <w:tc>
                <w:tcPr>
                  <w:tcW w:w="555" w:type="pct"/>
                  <w:tcBorders>
                    <w:tl2br w:val="nil"/>
                    <w:tr2bl w:val="nil"/>
                  </w:tcBorders>
                  <w:vAlign w:val="center"/>
                </w:tcPr>
                <w:p w14:paraId="49254E6E">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BOD</w:t>
                  </w:r>
                  <w:r>
                    <w:rPr>
                      <w:rFonts w:hint="default" w:ascii="Times New Roman" w:hAnsi="Times New Roman" w:eastAsia="宋体" w:cs="Times New Roman"/>
                      <w:color w:val="auto"/>
                      <w:kern w:val="2"/>
                      <w:sz w:val="21"/>
                      <w:szCs w:val="21"/>
                      <w:highlight w:val="none"/>
                      <w:vertAlign w:val="subscript"/>
                      <w:lang w:val="en-US" w:eastAsia="zh-CN" w:bidi="ar"/>
                    </w:rPr>
                    <w:t>5</w:t>
                  </w:r>
                </w:p>
              </w:tc>
              <w:tc>
                <w:tcPr>
                  <w:tcW w:w="555" w:type="pct"/>
                  <w:tcBorders>
                    <w:tl2br w:val="nil"/>
                    <w:tr2bl w:val="nil"/>
                  </w:tcBorders>
                  <w:vAlign w:val="center"/>
                </w:tcPr>
                <w:p w14:paraId="01423EEC">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250</w:t>
                  </w:r>
                </w:p>
              </w:tc>
              <w:tc>
                <w:tcPr>
                  <w:tcW w:w="555" w:type="pct"/>
                  <w:tcBorders>
                    <w:tl2br w:val="nil"/>
                    <w:tr2bl w:val="nil"/>
                  </w:tcBorders>
                  <w:vAlign w:val="center"/>
                </w:tcPr>
                <w:p w14:paraId="712FA6B5">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0.075</w:t>
                  </w:r>
                </w:p>
              </w:tc>
              <w:tc>
                <w:tcPr>
                  <w:tcW w:w="555" w:type="pct"/>
                  <w:tcBorders>
                    <w:tl2br w:val="nil"/>
                    <w:tr2bl w:val="nil"/>
                  </w:tcBorders>
                  <w:vAlign w:val="center"/>
                </w:tcPr>
                <w:p w14:paraId="5EF9A6A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20</w:t>
                  </w:r>
                </w:p>
              </w:tc>
              <w:tc>
                <w:tcPr>
                  <w:tcW w:w="501" w:type="pct"/>
                  <w:tcBorders>
                    <w:tl2br w:val="nil"/>
                    <w:tr2bl w:val="nil"/>
                  </w:tcBorders>
                  <w:vAlign w:val="center"/>
                </w:tcPr>
                <w:p w14:paraId="45585B8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200</w:t>
                  </w:r>
                </w:p>
              </w:tc>
              <w:tc>
                <w:tcPr>
                  <w:tcW w:w="609" w:type="pct"/>
                  <w:tcBorders>
                    <w:tl2br w:val="nil"/>
                    <w:tr2bl w:val="nil"/>
                  </w:tcBorders>
                  <w:vAlign w:val="center"/>
                </w:tcPr>
                <w:p w14:paraId="62E82F0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0.060</w:t>
                  </w:r>
                </w:p>
              </w:tc>
              <w:tc>
                <w:tcPr>
                  <w:tcW w:w="555" w:type="pct"/>
                  <w:tcBorders>
                    <w:tl2br w:val="nil"/>
                    <w:tr2bl w:val="nil"/>
                  </w:tcBorders>
                  <w:vAlign w:val="center"/>
                </w:tcPr>
                <w:p w14:paraId="44806A8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250</w:t>
                  </w:r>
                </w:p>
              </w:tc>
              <w:tc>
                <w:tcPr>
                  <w:tcW w:w="557" w:type="pct"/>
                  <w:tcBorders>
                    <w:tl2br w:val="nil"/>
                    <w:tr2bl w:val="nil"/>
                  </w:tcBorders>
                  <w:vAlign w:val="center"/>
                </w:tcPr>
                <w:p w14:paraId="702A5A5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211A58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pct"/>
                  <w:vMerge w:val="continue"/>
                  <w:tcBorders>
                    <w:tl2br w:val="nil"/>
                    <w:tr2bl w:val="nil"/>
                  </w:tcBorders>
                  <w:vAlign w:val="center"/>
                </w:tcPr>
                <w:p w14:paraId="6559DC0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p>
              </w:tc>
              <w:tc>
                <w:tcPr>
                  <w:tcW w:w="555" w:type="pct"/>
                  <w:tcBorders>
                    <w:tl2br w:val="nil"/>
                    <w:tr2bl w:val="nil"/>
                  </w:tcBorders>
                  <w:vAlign w:val="center"/>
                </w:tcPr>
                <w:p w14:paraId="4AC8558B">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SS</w:t>
                  </w:r>
                </w:p>
              </w:tc>
              <w:tc>
                <w:tcPr>
                  <w:tcW w:w="555" w:type="pct"/>
                  <w:tcBorders>
                    <w:tl2br w:val="nil"/>
                    <w:tr2bl w:val="nil"/>
                  </w:tcBorders>
                  <w:vAlign w:val="center"/>
                </w:tcPr>
                <w:p w14:paraId="123E1170">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22</w:t>
                  </w:r>
                  <w:r>
                    <w:rPr>
                      <w:rFonts w:hint="default" w:ascii="Times New Roman" w:hAnsi="Times New Roman" w:eastAsia="宋体" w:cs="Times New Roman"/>
                      <w:color w:val="auto"/>
                      <w:sz w:val="21"/>
                      <w:szCs w:val="21"/>
                      <w:highlight w:val="none"/>
                      <w:vertAlign w:val="baseline"/>
                      <w:lang w:val="en-US" w:eastAsia="zh-CN"/>
                    </w:rPr>
                    <w:t>0</w:t>
                  </w:r>
                </w:p>
              </w:tc>
              <w:tc>
                <w:tcPr>
                  <w:tcW w:w="555" w:type="pct"/>
                  <w:tcBorders>
                    <w:tl2br w:val="nil"/>
                    <w:tr2bl w:val="nil"/>
                  </w:tcBorders>
                  <w:vAlign w:val="center"/>
                </w:tcPr>
                <w:p w14:paraId="4D851B96">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0.066</w:t>
                  </w:r>
                </w:p>
              </w:tc>
              <w:tc>
                <w:tcPr>
                  <w:tcW w:w="555" w:type="pct"/>
                  <w:tcBorders>
                    <w:tl2br w:val="nil"/>
                    <w:tr2bl w:val="nil"/>
                  </w:tcBorders>
                  <w:vAlign w:val="center"/>
                </w:tcPr>
                <w:p w14:paraId="68B42BD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50</w:t>
                  </w:r>
                </w:p>
              </w:tc>
              <w:tc>
                <w:tcPr>
                  <w:tcW w:w="501" w:type="pct"/>
                  <w:tcBorders>
                    <w:tl2br w:val="nil"/>
                    <w:tr2bl w:val="nil"/>
                  </w:tcBorders>
                  <w:vAlign w:val="center"/>
                </w:tcPr>
                <w:p w14:paraId="6D6B8C1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110</w:t>
                  </w:r>
                </w:p>
              </w:tc>
              <w:tc>
                <w:tcPr>
                  <w:tcW w:w="609" w:type="pct"/>
                  <w:tcBorders>
                    <w:tl2br w:val="nil"/>
                    <w:tr2bl w:val="nil"/>
                  </w:tcBorders>
                  <w:vAlign w:val="center"/>
                </w:tcPr>
                <w:p w14:paraId="7C4F36D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0.033</w:t>
                  </w:r>
                </w:p>
              </w:tc>
              <w:tc>
                <w:tcPr>
                  <w:tcW w:w="555" w:type="pct"/>
                  <w:tcBorders>
                    <w:tl2br w:val="nil"/>
                    <w:tr2bl w:val="nil"/>
                  </w:tcBorders>
                  <w:vAlign w:val="center"/>
                </w:tcPr>
                <w:p w14:paraId="481C65A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300</w:t>
                  </w:r>
                </w:p>
              </w:tc>
              <w:tc>
                <w:tcPr>
                  <w:tcW w:w="557" w:type="pct"/>
                  <w:tcBorders>
                    <w:tl2br w:val="nil"/>
                    <w:tr2bl w:val="nil"/>
                  </w:tcBorders>
                  <w:vAlign w:val="center"/>
                </w:tcPr>
                <w:p w14:paraId="27CC36E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38087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pct"/>
                  <w:vMerge w:val="continue"/>
                  <w:tcBorders>
                    <w:tl2br w:val="nil"/>
                    <w:tr2bl w:val="nil"/>
                  </w:tcBorders>
                  <w:vAlign w:val="center"/>
                </w:tcPr>
                <w:p w14:paraId="4095DE9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p>
              </w:tc>
              <w:tc>
                <w:tcPr>
                  <w:tcW w:w="555" w:type="pct"/>
                  <w:tcBorders>
                    <w:tl2br w:val="nil"/>
                    <w:tr2bl w:val="nil"/>
                  </w:tcBorders>
                  <w:vAlign w:val="center"/>
                </w:tcPr>
                <w:p w14:paraId="4A4BE1F5">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lang w:val="en-US" w:eastAsia="zh-CN" w:bidi="ar"/>
                    </w:rPr>
                    <w:t>NH</w:t>
                  </w:r>
                  <w:r>
                    <w:rPr>
                      <w:rFonts w:hint="default" w:ascii="Times New Roman" w:hAnsi="Times New Roman" w:eastAsia="宋体" w:cs="Times New Roman"/>
                      <w:color w:val="auto"/>
                      <w:kern w:val="2"/>
                      <w:sz w:val="21"/>
                      <w:szCs w:val="21"/>
                      <w:highlight w:val="none"/>
                      <w:vertAlign w:val="subscript"/>
                      <w:lang w:val="en-US" w:eastAsia="zh-CN" w:bidi="ar"/>
                    </w:rPr>
                    <w:t>3</w:t>
                  </w:r>
                  <w:r>
                    <w:rPr>
                      <w:rFonts w:hint="default" w:ascii="Times New Roman" w:hAnsi="Times New Roman" w:eastAsia="宋体" w:cs="Times New Roman"/>
                      <w:color w:val="auto"/>
                      <w:kern w:val="2"/>
                      <w:sz w:val="21"/>
                      <w:szCs w:val="21"/>
                      <w:highlight w:val="none"/>
                      <w:lang w:val="en-US" w:eastAsia="zh-CN" w:bidi="ar"/>
                    </w:rPr>
                    <w:t>-N</w:t>
                  </w:r>
                </w:p>
              </w:tc>
              <w:tc>
                <w:tcPr>
                  <w:tcW w:w="555" w:type="pct"/>
                  <w:tcBorders>
                    <w:tl2br w:val="nil"/>
                    <w:tr2bl w:val="nil"/>
                  </w:tcBorders>
                  <w:vAlign w:val="center"/>
                </w:tcPr>
                <w:p w14:paraId="5B03684C">
                  <w:pPr>
                    <w:pStyle w:val="3"/>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30</w:t>
                  </w:r>
                </w:p>
              </w:tc>
              <w:tc>
                <w:tcPr>
                  <w:tcW w:w="555" w:type="pct"/>
                  <w:tcBorders>
                    <w:tl2br w:val="nil"/>
                    <w:tr2bl w:val="nil"/>
                  </w:tcBorders>
                  <w:vAlign w:val="center"/>
                </w:tcPr>
                <w:p w14:paraId="65609E68">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0.009</w:t>
                  </w:r>
                </w:p>
              </w:tc>
              <w:tc>
                <w:tcPr>
                  <w:tcW w:w="555" w:type="pct"/>
                  <w:tcBorders>
                    <w:tl2br w:val="nil"/>
                    <w:tr2bl w:val="nil"/>
                  </w:tcBorders>
                  <w:vAlign w:val="center"/>
                </w:tcPr>
                <w:p w14:paraId="5CB9E6B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501" w:type="pct"/>
                  <w:tcBorders>
                    <w:tl2br w:val="nil"/>
                    <w:tr2bl w:val="nil"/>
                  </w:tcBorders>
                  <w:vAlign w:val="center"/>
                </w:tcPr>
                <w:p w14:paraId="1FAD7C4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29.1</w:t>
                  </w:r>
                </w:p>
              </w:tc>
              <w:tc>
                <w:tcPr>
                  <w:tcW w:w="609" w:type="pct"/>
                  <w:tcBorders>
                    <w:tl2br w:val="nil"/>
                    <w:tr2bl w:val="nil"/>
                  </w:tcBorders>
                  <w:vAlign w:val="center"/>
                </w:tcPr>
                <w:p w14:paraId="3D95511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0.0087</w:t>
                  </w:r>
                </w:p>
              </w:tc>
              <w:tc>
                <w:tcPr>
                  <w:tcW w:w="555" w:type="pct"/>
                  <w:tcBorders>
                    <w:tl2br w:val="nil"/>
                    <w:tr2bl w:val="nil"/>
                  </w:tcBorders>
                  <w:vAlign w:val="center"/>
                </w:tcPr>
                <w:p w14:paraId="4418C50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30</w:t>
                  </w:r>
                </w:p>
              </w:tc>
              <w:tc>
                <w:tcPr>
                  <w:tcW w:w="557" w:type="pct"/>
                  <w:tcBorders>
                    <w:tl2br w:val="nil"/>
                    <w:tr2bl w:val="nil"/>
                  </w:tcBorders>
                  <w:vAlign w:val="center"/>
                </w:tcPr>
                <w:p w14:paraId="49F4B79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236A19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5" w:type="pct"/>
                  <w:vMerge w:val="continue"/>
                  <w:tcBorders>
                    <w:tl2br w:val="nil"/>
                    <w:tr2bl w:val="nil"/>
                  </w:tcBorders>
                  <w:vAlign w:val="center"/>
                </w:tcPr>
                <w:p w14:paraId="21629C0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p>
              </w:tc>
              <w:tc>
                <w:tcPr>
                  <w:tcW w:w="555" w:type="pct"/>
                  <w:tcBorders>
                    <w:tl2br w:val="nil"/>
                    <w:tr2bl w:val="nil"/>
                  </w:tcBorders>
                  <w:vAlign w:val="center"/>
                </w:tcPr>
                <w:p w14:paraId="2EE74DE2">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TP</w:t>
                  </w:r>
                </w:p>
              </w:tc>
              <w:tc>
                <w:tcPr>
                  <w:tcW w:w="555" w:type="pct"/>
                  <w:tcBorders>
                    <w:tl2br w:val="nil"/>
                    <w:tr2bl w:val="nil"/>
                  </w:tcBorders>
                  <w:vAlign w:val="center"/>
                </w:tcPr>
                <w:p w14:paraId="5D2B9233">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cs="Times New Roman"/>
                      <w:color w:val="auto"/>
                      <w:sz w:val="21"/>
                      <w:szCs w:val="21"/>
                      <w:highlight w:val="none"/>
                      <w:vertAlign w:val="baseline"/>
                      <w:lang w:val="en-US" w:eastAsia="zh-CN"/>
                    </w:rPr>
                    <w:t>4.42</w:t>
                  </w:r>
                </w:p>
              </w:tc>
              <w:tc>
                <w:tcPr>
                  <w:tcW w:w="555" w:type="pct"/>
                  <w:tcBorders>
                    <w:tl2br w:val="nil"/>
                    <w:tr2bl w:val="nil"/>
                  </w:tcBorders>
                  <w:vAlign w:val="center"/>
                </w:tcPr>
                <w:p w14:paraId="29C3CBA4">
                  <w:pPr>
                    <w:pStyle w:val="3"/>
                    <w:keepNext w:val="0"/>
                    <w:keepLines w:val="0"/>
                    <w:pageBreakBefore w:val="0"/>
                    <w:widowControl w:val="0"/>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0.0013</w:t>
                  </w:r>
                </w:p>
              </w:tc>
              <w:tc>
                <w:tcPr>
                  <w:tcW w:w="555" w:type="pct"/>
                  <w:tcBorders>
                    <w:tl2br w:val="nil"/>
                    <w:tr2bl w:val="nil"/>
                  </w:tcBorders>
                  <w:vAlign w:val="center"/>
                </w:tcPr>
                <w:p w14:paraId="1081513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w:t>
                  </w:r>
                </w:p>
              </w:tc>
              <w:tc>
                <w:tcPr>
                  <w:tcW w:w="501" w:type="pct"/>
                  <w:tcBorders>
                    <w:tl2br w:val="nil"/>
                    <w:tr2bl w:val="nil"/>
                  </w:tcBorders>
                  <w:vAlign w:val="center"/>
                </w:tcPr>
                <w:p w14:paraId="07A5EE7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4.2</w:t>
                  </w:r>
                </w:p>
              </w:tc>
              <w:tc>
                <w:tcPr>
                  <w:tcW w:w="609" w:type="pct"/>
                  <w:tcBorders>
                    <w:tl2br w:val="nil"/>
                    <w:tr2bl w:val="nil"/>
                  </w:tcBorders>
                  <w:vAlign w:val="center"/>
                </w:tcPr>
                <w:p w14:paraId="5C6BDA1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0.00125</w:t>
                  </w:r>
                </w:p>
              </w:tc>
              <w:tc>
                <w:tcPr>
                  <w:tcW w:w="555" w:type="pct"/>
                  <w:tcBorders>
                    <w:tl2br w:val="nil"/>
                    <w:tr2bl w:val="nil"/>
                  </w:tcBorders>
                  <w:vAlign w:val="center"/>
                </w:tcPr>
                <w:p w14:paraId="2F0D084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w:t>
                  </w:r>
                </w:p>
              </w:tc>
              <w:tc>
                <w:tcPr>
                  <w:tcW w:w="557" w:type="pct"/>
                  <w:tcBorders>
                    <w:tl2br w:val="nil"/>
                    <w:tr2bl w:val="nil"/>
                  </w:tcBorders>
                  <w:vAlign w:val="center"/>
                </w:tcPr>
                <w:p w14:paraId="593D9A9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bl>
          <w:p w14:paraId="1A83625E">
            <w:pPr>
              <w:pStyle w:val="29"/>
              <w:keepNext w:val="0"/>
              <w:keepLines w:val="0"/>
              <w:pageBreakBefore w:val="0"/>
              <w:widowControl w:val="0"/>
              <w:numPr>
                <w:ilvl w:val="0"/>
                <w:numId w:val="0"/>
              </w:numPr>
              <w:kinsoku/>
              <w:wordWrap/>
              <w:overflowPunct/>
              <w:topLinePunct w:val="0"/>
              <w:autoSpaceDN/>
              <w:bidi w:val="0"/>
              <w:adjustRightInd w:val="0"/>
              <w:snapToGrid w:val="0"/>
              <w:spacing w:before="0" w:after="0" w:line="360" w:lineRule="auto"/>
              <w:ind w:right="0" w:firstLine="480" w:firstLineChars="200"/>
              <w:jc w:val="left"/>
              <w:textAlignment w:val="auto"/>
              <w:rPr>
                <w:rFonts w:hint="default"/>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由上表可知，本项目</w:t>
            </w:r>
            <w:r>
              <w:rPr>
                <w:rFonts w:hint="default" w:ascii="Times New Roman" w:hAnsi="Times New Roman" w:cs="Times New Roman"/>
                <w:color w:val="auto"/>
                <w:kern w:val="2"/>
                <w:sz w:val="24"/>
                <w:szCs w:val="24"/>
                <w:highlight w:val="none"/>
                <w:lang w:val="en-US" w:eastAsia="zh-CN" w:bidi="ar-SA"/>
              </w:rPr>
              <w:t>生活污水经</w:t>
            </w:r>
            <w:r>
              <w:rPr>
                <w:rFonts w:hint="eastAsia" w:ascii="Times New Roman" w:hAnsi="Times New Roman" w:cs="Times New Roman"/>
                <w:color w:val="auto"/>
                <w:kern w:val="2"/>
                <w:sz w:val="24"/>
                <w:szCs w:val="24"/>
                <w:highlight w:val="none"/>
                <w:lang w:val="en-US" w:eastAsia="zh-CN" w:bidi="ar-SA"/>
              </w:rPr>
              <w:t>厂区</w:t>
            </w:r>
            <w:r>
              <w:rPr>
                <w:rFonts w:hint="default" w:ascii="Times New Roman" w:hAnsi="Times New Roman" w:cs="Times New Roman"/>
                <w:color w:val="auto"/>
                <w:kern w:val="2"/>
                <w:sz w:val="24"/>
                <w:szCs w:val="24"/>
                <w:highlight w:val="none"/>
                <w:lang w:val="en-US" w:eastAsia="zh-CN" w:bidi="ar-SA"/>
              </w:rPr>
              <w:t>化粪池处理后</w:t>
            </w:r>
            <w:r>
              <w:rPr>
                <w:rFonts w:hint="default" w:ascii="Times New Roman" w:hAnsi="Times New Roman" w:eastAsia="宋体" w:cs="Times New Roman"/>
                <w:color w:val="auto"/>
                <w:kern w:val="2"/>
                <w:sz w:val="24"/>
                <w:szCs w:val="24"/>
                <w:highlight w:val="none"/>
                <w:lang w:val="en-US" w:eastAsia="zh-CN" w:bidi="ar-SA"/>
              </w:rPr>
              <w:t>，各污染因子排放浓度能够满足《</w:t>
            </w:r>
            <w:r>
              <w:rPr>
                <w:rFonts w:hint="default" w:ascii="Times New Roman" w:hAnsi="Times New Roman" w:cs="Times New Roman"/>
                <w:color w:val="auto"/>
                <w:kern w:val="2"/>
                <w:sz w:val="24"/>
                <w:szCs w:val="24"/>
                <w:highlight w:val="none"/>
                <w:lang w:val="en-US" w:eastAsia="zh-CN" w:bidi="ar-SA"/>
              </w:rPr>
              <w:t>辽宁省污水综合排放标准</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DB21/1627-2008</w:t>
            </w:r>
            <w:r>
              <w:rPr>
                <w:rFonts w:hint="default" w:ascii="Times New Roman" w:hAnsi="Times New Roman" w:eastAsia="宋体" w:cs="Times New Roman"/>
                <w:color w:val="auto"/>
                <w:kern w:val="2"/>
                <w:sz w:val="24"/>
                <w:szCs w:val="24"/>
                <w:highlight w:val="none"/>
                <w:lang w:val="en-US" w:eastAsia="zh-CN" w:bidi="ar-SA"/>
              </w:rPr>
              <w:t>）表2排放限值要求</w:t>
            </w:r>
            <w:r>
              <w:rPr>
                <w:rFonts w:hint="default" w:ascii="Times New Roman" w:hAnsi="Times New Roman" w:cs="Times New Roman"/>
                <w:color w:val="auto"/>
                <w:kern w:val="2"/>
                <w:sz w:val="24"/>
                <w:szCs w:val="24"/>
                <w:highlight w:val="none"/>
                <w:lang w:val="en-US" w:eastAsia="zh-CN" w:bidi="ar-SA"/>
              </w:rPr>
              <w:t>。</w:t>
            </w:r>
          </w:p>
          <w:p w14:paraId="2B6E4933">
            <w:pPr>
              <w:pStyle w:val="2"/>
              <w:keepNext w:val="0"/>
              <w:keepLines w:val="0"/>
              <w:pageBreakBefore w:val="0"/>
              <w:widowControl w:val="0"/>
              <w:kinsoku/>
              <w:wordWrap/>
              <w:overflowPunct/>
              <w:topLinePunct w:val="0"/>
              <w:autoSpaceDE/>
              <w:autoSpaceDN/>
              <w:bidi w:val="0"/>
              <w:adjustRightInd w:val="0"/>
              <w:snapToGrid w:val="0"/>
              <w:spacing w:before="0" w:after="0" w:line="360" w:lineRule="auto"/>
              <w:ind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
              </w:rPr>
              <w:t>本项目</w:t>
            </w:r>
            <w:r>
              <w:rPr>
                <w:rFonts w:hint="eastAsia" w:cs="Times New Roman"/>
                <w:color w:val="auto"/>
                <w:kern w:val="2"/>
                <w:sz w:val="24"/>
                <w:szCs w:val="24"/>
                <w:highlight w:val="none"/>
                <w:lang w:val="en-US" w:eastAsia="zh-CN" w:bidi="ar"/>
              </w:rPr>
              <w:t>各环节</w:t>
            </w:r>
            <w:r>
              <w:rPr>
                <w:rFonts w:hint="default" w:ascii="Times New Roman" w:hAnsi="Times New Roman" w:eastAsia="宋体" w:cs="Times New Roman"/>
                <w:color w:val="auto"/>
                <w:kern w:val="2"/>
                <w:sz w:val="24"/>
                <w:szCs w:val="24"/>
                <w:highlight w:val="none"/>
                <w:lang w:val="en-US" w:eastAsia="zh-CN" w:bidi="ar"/>
              </w:rPr>
              <w:t>废水污染治理设施设置情况如下表所示。</w:t>
            </w:r>
          </w:p>
          <w:p w14:paraId="6C1DA58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黑体" w:hAnsi="黑体" w:eastAsia="黑体" w:cs="黑体"/>
                <w:color w:val="auto"/>
                <w:kern w:val="2"/>
                <w:sz w:val="21"/>
                <w:szCs w:val="21"/>
                <w:highlight w:val="none"/>
                <w:lang w:val="en-US" w:eastAsia="zh-CN" w:bidi="ar"/>
              </w:rPr>
            </w:pPr>
            <w:r>
              <w:rPr>
                <w:rFonts w:hint="default" w:ascii="黑体" w:hAnsi="黑体" w:eastAsia="黑体" w:cs="黑体"/>
                <w:color w:val="auto"/>
                <w:kern w:val="2"/>
                <w:sz w:val="21"/>
                <w:szCs w:val="21"/>
                <w:highlight w:val="none"/>
                <w:lang w:val="en-US" w:eastAsia="zh-CN" w:bidi="ar"/>
              </w:rPr>
              <w:t>表</w:t>
            </w:r>
            <w:r>
              <w:rPr>
                <w:rFonts w:hint="eastAsia" w:ascii="黑体" w:hAnsi="黑体" w:eastAsia="黑体" w:cs="黑体"/>
                <w:color w:val="auto"/>
                <w:kern w:val="2"/>
                <w:sz w:val="21"/>
                <w:szCs w:val="21"/>
                <w:highlight w:val="none"/>
                <w:lang w:val="en-US" w:eastAsia="zh-CN" w:bidi="ar"/>
              </w:rPr>
              <w:t>4-6废水类别、污染物及污染治理设施信息表</w:t>
            </w:r>
          </w:p>
          <w:tbl>
            <w:tblPr>
              <w:tblStyle w:val="25"/>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6"/>
              <w:gridCol w:w="520"/>
              <w:gridCol w:w="1056"/>
              <w:gridCol w:w="763"/>
              <w:gridCol w:w="693"/>
              <w:gridCol w:w="706"/>
              <w:gridCol w:w="718"/>
              <w:gridCol w:w="669"/>
              <w:gridCol w:w="568"/>
              <w:gridCol w:w="869"/>
              <w:gridCol w:w="708"/>
            </w:tblGrid>
            <w:tr w14:paraId="718D6D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0" w:type="pct"/>
                  <w:vMerge w:val="restart"/>
                  <w:tcBorders>
                    <w:tl2br w:val="nil"/>
                    <w:tr2bl w:val="nil"/>
                  </w:tcBorders>
                  <w:noWrap w:val="0"/>
                  <w:vAlign w:val="center"/>
                </w:tcPr>
                <w:p w14:paraId="71EA64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338" w:type="pct"/>
                  <w:vMerge w:val="restart"/>
                  <w:tcBorders>
                    <w:tl2br w:val="nil"/>
                    <w:tr2bl w:val="nil"/>
                  </w:tcBorders>
                  <w:noWrap w:val="0"/>
                  <w:vAlign w:val="center"/>
                </w:tcPr>
                <w:p w14:paraId="17009F7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废水类别</w:t>
                  </w:r>
                </w:p>
              </w:tc>
              <w:tc>
                <w:tcPr>
                  <w:tcW w:w="686" w:type="pct"/>
                  <w:vMerge w:val="restart"/>
                  <w:tcBorders>
                    <w:tl2br w:val="nil"/>
                    <w:tr2bl w:val="nil"/>
                  </w:tcBorders>
                  <w:noWrap w:val="0"/>
                  <w:vAlign w:val="center"/>
                </w:tcPr>
                <w:p w14:paraId="58D48C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污染物种类</w:t>
                  </w:r>
                </w:p>
              </w:tc>
              <w:tc>
                <w:tcPr>
                  <w:tcW w:w="496" w:type="pct"/>
                  <w:vMerge w:val="restart"/>
                  <w:tcBorders>
                    <w:tl2br w:val="nil"/>
                    <w:tr2bl w:val="nil"/>
                  </w:tcBorders>
                  <w:noWrap w:val="0"/>
                  <w:vAlign w:val="center"/>
                </w:tcPr>
                <w:p w14:paraId="3FF574B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排放去向</w:t>
                  </w:r>
                </w:p>
              </w:tc>
              <w:tc>
                <w:tcPr>
                  <w:tcW w:w="450" w:type="pct"/>
                  <w:vMerge w:val="restart"/>
                  <w:tcBorders>
                    <w:tl2br w:val="nil"/>
                    <w:tr2bl w:val="nil"/>
                  </w:tcBorders>
                  <w:noWrap w:val="0"/>
                  <w:vAlign w:val="center"/>
                </w:tcPr>
                <w:p w14:paraId="4EFF4E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排放规律</w:t>
                  </w:r>
                </w:p>
              </w:tc>
              <w:tc>
                <w:tcPr>
                  <w:tcW w:w="1361" w:type="pct"/>
                  <w:gridSpan w:val="3"/>
                  <w:tcBorders>
                    <w:tl2br w:val="nil"/>
                    <w:tr2bl w:val="nil"/>
                  </w:tcBorders>
                  <w:noWrap w:val="0"/>
                  <w:vAlign w:val="center"/>
                </w:tcPr>
                <w:p w14:paraId="1307C3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污染治理设施</w:t>
                  </w:r>
                </w:p>
              </w:tc>
              <w:tc>
                <w:tcPr>
                  <w:tcW w:w="369" w:type="pct"/>
                  <w:vMerge w:val="restart"/>
                  <w:tcBorders>
                    <w:tl2br w:val="nil"/>
                    <w:tr2bl w:val="nil"/>
                  </w:tcBorders>
                  <w:noWrap w:val="0"/>
                  <w:vAlign w:val="center"/>
                </w:tcPr>
                <w:p w14:paraId="5E3306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排放口编号</w:t>
                  </w:r>
                </w:p>
              </w:tc>
              <w:tc>
                <w:tcPr>
                  <w:tcW w:w="565" w:type="pct"/>
                  <w:vMerge w:val="restart"/>
                  <w:tcBorders>
                    <w:tl2br w:val="nil"/>
                    <w:tr2bl w:val="nil"/>
                  </w:tcBorders>
                  <w:noWrap w:val="0"/>
                  <w:vAlign w:val="center"/>
                </w:tcPr>
                <w:p w14:paraId="66F6BE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排放口设置是否符合要求</w:t>
                  </w:r>
                </w:p>
              </w:tc>
              <w:tc>
                <w:tcPr>
                  <w:tcW w:w="460" w:type="pct"/>
                  <w:vMerge w:val="restart"/>
                  <w:tcBorders>
                    <w:tl2br w:val="nil"/>
                    <w:tr2bl w:val="nil"/>
                  </w:tcBorders>
                  <w:noWrap w:val="0"/>
                  <w:vAlign w:val="center"/>
                </w:tcPr>
                <w:p w14:paraId="64D1E2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排放口类型</w:t>
                  </w:r>
                </w:p>
              </w:tc>
            </w:tr>
            <w:tr w14:paraId="6506A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9" w:hRule="atLeast"/>
              </w:trPr>
              <w:tc>
                <w:tcPr>
                  <w:tcW w:w="270" w:type="pct"/>
                  <w:vMerge w:val="continue"/>
                  <w:tcBorders>
                    <w:tl2br w:val="nil"/>
                    <w:tr2bl w:val="nil"/>
                  </w:tcBorders>
                  <w:noWrap w:val="0"/>
                  <w:vAlign w:val="center"/>
                </w:tcPr>
                <w:p w14:paraId="1DBDC5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338" w:type="pct"/>
                  <w:vMerge w:val="continue"/>
                  <w:tcBorders>
                    <w:tl2br w:val="nil"/>
                    <w:tr2bl w:val="nil"/>
                  </w:tcBorders>
                  <w:noWrap w:val="0"/>
                  <w:vAlign w:val="center"/>
                </w:tcPr>
                <w:p w14:paraId="049777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686" w:type="pct"/>
                  <w:vMerge w:val="continue"/>
                  <w:tcBorders>
                    <w:tl2br w:val="nil"/>
                    <w:tr2bl w:val="nil"/>
                  </w:tcBorders>
                  <w:noWrap w:val="0"/>
                  <w:vAlign w:val="center"/>
                </w:tcPr>
                <w:p w14:paraId="13055D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496" w:type="pct"/>
                  <w:vMerge w:val="continue"/>
                  <w:tcBorders>
                    <w:tl2br w:val="nil"/>
                    <w:tr2bl w:val="nil"/>
                  </w:tcBorders>
                  <w:noWrap w:val="0"/>
                  <w:vAlign w:val="center"/>
                </w:tcPr>
                <w:p w14:paraId="18C1BC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450" w:type="pct"/>
                  <w:vMerge w:val="continue"/>
                  <w:tcBorders>
                    <w:tl2br w:val="nil"/>
                    <w:tr2bl w:val="nil"/>
                  </w:tcBorders>
                  <w:noWrap w:val="0"/>
                  <w:vAlign w:val="center"/>
                </w:tcPr>
                <w:p w14:paraId="4BCF01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459" w:type="pct"/>
                  <w:tcBorders>
                    <w:tl2br w:val="nil"/>
                    <w:tr2bl w:val="nil"/>
                  </w:tcBorders>
                  <w:noWrap w:val="0"/>
                  <w:vAlign w:val="center"/>
                </w:tcPr>
                <w:p w14:paraId="65867F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污染治理设施编号</w:t>
                  </w:r>
                </w:p>
              </w:tc>
              <w:tc>
                <w:tcPr>
                  <w:tcW w:w="467" w:type="pct"/>
                  <w:tcBorders>
                    <w:tl2br w:val="nil"/>
                    <w:tr2bl w:val="nil"/>
                  </w:tcBorders>
                  <w:noWrap w:val="0"/>
                  <w:vAlign w:val="center"/>
                </w:tcPr>
                <w:p w14:paraId="28C990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污染治理设施名称</w:t>
                  </w:r>
                </w:p>
              </w:tc>
              <w:tc>
                <w:tcPr>
                  <w:tcW w:w="435" w:type="pct"/>
                  <w:tcBorders>
                    <w:tl2br w:val="nil"/>
                    <w:tr2bl w:val="nil"/>
                  </w:tcBorders>
                  <w:noWrap w:val="0"/>
                  <w:vAlign w:val="center"/>
                </w:tcPr>
                <w:p w14:paraId="49584F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污染治理设施工艺</w:t>
                  </w:r>
                </w:p>
              </w:tc>
              <w:tc>
                <w:tcPr>
                  <w:tcW w:w="369" w:type="pct"/>
                  <w:vMerge w:val="continue"/>
                  <w:tcBorders>
                    <w:tl2br w:val="nil"/>
                    <w:tr2bl w:val="nil"/>
                  </w:tcBorders>
                  <w:noWrap w:val="0"/>
                  <w:vAlign w:val="center"/>
                </w:tcPr>
                <w:p w14:paraId="3B5954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565" w:type="pct"/>
                  <w:vMerge w:val="continue"/>
                  <w:tcBorders>
                    <w:tl2br w:val="nil"/>
                    <w:tr2bl w:val="nil"/>
                  </w:tcBorders>
                  <w:noWrap w:val="0"/>
                  <w:vAlign w:val="center"/>
                </w:tcPr>
                <w:p w14:paraId="3C1838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460" w:type="pct"/>
                  <w:vMerge w:val="continue"/>
                  <w:tcBorders>
                    <w:tl2br w:val="nil"/>
                    <w:tr2bl w:val="nil"/>
                  </w:tcBorders>
                  <w:noWrap w:val="0"/>
                  <w:vAlign w:val="center"/>
                </w:tcPr>
                <w:p w14:paraId="0A8E2F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68968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0" w:type="pct"/>
                  <w:tcBorders>
                    <w:tl2br w:val="nil"/>
                    <w:tr2bl w:val="nil"/>
                  </w:tcBorders>
                  <w:noWrap w:val="0"/>
                  <w:vAlign w:val="center"/>
                </w:tcPr>
                <w:p w14:paraId="7770D4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c>
                <w:tcPr>
                  <w:tcW w:w="338" w:type="pct"/>
                  <w:tcBorders>
                    <w:tl2br w:val="nil"/>
                    <w:tr2bl w:val="nil"/>
                  </w:tcBorders>
                  <w:noWrap w:val="0"/>
                  <w:vAlign w:val="center"/>
                </w:tcPr>
                <w:p w14:paraId="57890B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生活废水</w:t>
                  </w:r>
                </w:p>
              </w:tc>
              <w:tc>
                <w:tcPr>
                  <w:tcW w:w="686" w:type="pct"/>
                  <w:tcBorders>
                    <w:tl2br w:val="nil"/>
                    <w:tr2bl w:val="nil"/>
                  </w:tcBorders>
                  <w:noWrap w:val="0"/>
                  <w:vAlign w:val="center"/>
                </w:tcPr>
                <w:p w14:paraId="11C3C4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COD</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vertAlign w:val="baseline"/>
                      <w:lang w:val="en-US" w:eastAsia="zh-CN"/>
                    </w:rPr>
                    <w:t>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kern w:val="2"/>
                      <w:sz w:val="21"/>
                      <w:szCs w:val="21"/>
                      <w:highlight w:val="none"/>
                      <w:lang w:val="en-US" w:eastAsia="zh-CN" w:bidi="ar"/>
                    </w:rPr>
                    <w:t>、</w:t>
                  </w:r>
                  <w:r>
                    <w:rPr>
                      <w:rFonts w:hint="default" w:ascii="Times New Roman" w:hAnsi="Times New Roman" w:eastAsia="宋体" w:cs="Times New Roman"/>
                      <w:color w:val="auto"/>
                      <w:sz w:val="21"/>
                      <w:szCs w:val="21"/>
                      <w:highlight w:val="none"/>
                      <w:lang w:eastAsia="zh-CN"/>
                    </w:rPr>
                    <w:t>氨氮、</w:t>
                  </w:r>
                  <w:r>
                    <w:rPr>
                      <w:rFonts w:hint="default" w:ascii="Times New Roman" w:hAnsi="Times New Roman" w:eastAsia="宋体" w:cs="Times New Roman"/>
                      <w:color w:val="auto"/>
                      <w:sz w:val="21"/>
                      <w:szCs w:val="21"/>
                      <w:highlight w:val="none"/>
                    </w:rPr>
                    <w:t>SS</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TP</w:t>
                  </w:r>
                </w:p>
              </w:tc>
              <w:tc>
                <w:tcPr>
                  <w:tcW w:w="496" w:type="pct"/>
                  <w:tcBorders>
                    <w:tl2br w:val="nil"/>
                    <w:tr2bl w:val="nil"/>
                  </w:tcBorders>
                  <w:noWrap w:val="0"/>
                  <w:vAlign w:val="center"/>
                </w:tcPr>
                <w:p w14:paraId="3D9A49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高新区污水处理厂</w:t>
                  </w:r>
                </w:p>
              </w:tc>
              <w:tc>
                <w:tcPr>
                  <w:tcW w:w="450" w:type="pct"/>
                  <w:tcBorders>
                    <w:tl2br w:val="nil"/>
                    <w:tr2bl w:val="nil"/>
                  </w:tcBorders>
                  <w:noWrap w:val="0"/>
                  <w:vAlign w:val="center"/>
                </w:tcPr>
                <w:p w14:paraId="78D95D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连续排放</w:t>
                  </w:r>
                </w:p>
              </w:tc>
              <w:tc>
                <w:tcPr>
                  <w:tcW w:w="459" w:type="pct"/>
                  <w:tcBorders>
                    <w:tl2br w:val="nil"/>
                    <w:tr2bl w:val="nil"/>
                  </w:tcBorders>
                  <w:noWrap w:val="0"/>
                  <w:vAlign w:val="center"/>
                </w:tcPr>
                <w:p w14:paraId="7A7873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TW00</w:t>
                  </w:r>
                  <w:r>
                    <w:rPr>
                      <w:rFonts w:hint="eastAsia" w:ascii="Times New Roman" w:hAnsi="Times New Roman" w:cs="Times New Roman"/>
                      <w:color w:val="auto"/>
                      <w:sz w:val="21"/>
                      <w:szCs w:val="21"/>
                      <w:highlight w:val="none"/>
                      <w:vertAlign w:val="baseline"/>
                      <w:lang w:val="en-US" w:eastAsia="zh-CN"/>
                    </w:rPr>
                    <w:t>1</w:t>
                  </w:r>
                </w:p>
              </w:tc>
              <w:tc>
                <w:tcPr>
                  <w:tcW w:w="467" w:type="pct"/>
                  <w:tcBorders>
                    <w:tl2br w:val="nil"/>
                    <w:tr2bl w:val="nil"/>
                  </w:tcBorders>
                  <w:noWrap w:val="0"/>
                  <w:vAlign w:val="center"/>
                </w:tcPr>
                <w:p w14:paraId="093D89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厂</w:t>
                  </w:r>
                  <w:r>
                    <w:rPr>
                      <w:rFonts w:hint="eastAsia" w:ascii="Times New Roman" w:hAnsi="Times New Roman" w:cs="Times New Roman"/>
                      <w:color w:val="auto"/>
                      <w:sz w:val="21"/>
                      <w:szCs w:val="21"/>
                      <w:highlight w:val="none"/>
                      <w:vertAlign w:val="baseline"/>
                      <w:lang w:val="en-US" w:eastAsia="zh-CN"/>
                    </w:rPr>
                    <w:t>区</w:t>
                  </w:r>
                  <w:r>
                    <w:rPr>
                      <w:rFonts w:hint="default" w:ascii="Times New Roman" w:hAnsi="Times New Roman" w:cs="Times New Roman"/>
                      <w:color w:val="auto"/>
                      <w:sz w:val="21"/>
                      <w:szCs w:val="21"/>
                      <w:highlight w:val="none"/>
                      <w:vertAlign w:val="baseline"/>
                      <w:lang w:val="en-US" w:eastAsia="zh-CN"/>
                    </w:rPr>
                    <w:t>化粪池</w:t>
                  </w:r>
                </w:p>
              </w:tc>
              <w:tc>
                <w:tcPr>
                  <w:tcW w:w="435" w:type="pct"/>
                  <w:tcBorders>
                    <w:tl2br w:val="nil"/>
                    <w:tr2bl w:val="nil"/>
                  </w:tcBorders>
                  <w:noWrap w:val="0"/>
                  <w:vAlign w:val="center"/>
                </w:tcPr>
                <w:p w14:paraId="2D10E7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沉淀</w:t>
                  </w:r>
                </w:p>
              </w:tc>
              <w:tc>
                <w:tcPr>
                  <w:tcW w:w="369" w:type="pct"/>
                  <w:tcBorders>
                    <w:tl2br w:val="nil"/>
                    <w:tr2bl w:val="nil"/>
                  </w:tcBorders>
                  <w:noWrap w:val="0"/>
                  <w:vAlign w:val="center"/>
                </w:tcPr>
                <w:p w14:paraId="3715A0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DW00</w:t>
                  </w:r>
                  <w:r>
                    <w:rPr>
                      <w:rFonts w:hint="eastAsia" w:ascii="Times New Roman" w:hAnsi="Times New Roman" w:cs="Times New Roman"/>
                      <w:color w:val="auto"/>
                      <w:sz w:val="21"/>
                      <w:szCs w:val="21"/>
                      <w:highlight w:val="none"/>
                      <w:vertAlign w:val="baseline"/>
                      <w:lang w:val="en-US" w:eastAsia="zh-CN"/>
                    </w:rPr>
                    <w:t>1</w:t>
                  </w:r>
                </w:p>
              </w:tc>
              <w:tc>
                <w:tcPr>
                  <w:tcW w:w="565" w:type="pct"/>
                  <w:tcBorders>
                    <w:tl2br w:val="nil"/>
                    <w:tr2bl w:val="nil"/>
                  </w:tcBorders>
                  <w:noWrap w:val="0"/>
                  <w:vAlign w:val="center"/>
                </w:tcPr>
                <w:p w14:paraId="526E19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是</w:t>
                  </w:r>
                </w:p>
              </w:tc>
              <w:tc>
                <w:tcPr>
                  <w:tcW w:w="460" w:type="pct"/>
                  <w:tcBorders>
                    <w:tl2br w:val="nil"/>
                    <w:tr2bl w:val="nil"/>
                  </w:tcBorders>
                  <w:noWrap w:val="0"/>
                  <w:vAlign w:val="center"/>
                </w:tcPr>
                <w:p w14:paraId="4B1FB8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生活污水排放口</w:t>
                  </w:r>
                </w:p>
              </w:tc>
            </w:tr>
          </w:tbl>
          <w:p w14:paraId="5E223AB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auto"/>
              <w:ind w:left="0" w:leftChars="0" w:right="0" w:rightChars="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
              </w:rPr>
              <w:t>本项目</w:t>
            </w:r>
            <w:r>
              <w:rPr>
                <w:rFonts w:hint="eastAsia" w:ascii="宋体" w:hAnsi="宋体" w:eastAsia="宋体" w:cs="宋体"/>
                <w:color w:val="auto"/>
                <w:kern w:val="2"/>
                <w:sz w:val="24"/>
                <w:szCs w:val="24"/>
                <w:highlight w:val="none"/>
                <w:lang w:val="en-US" w:eastAsia="zh-CN" w:bidi="ar"/>
              </w:rPr>
              <w:t>具体污水排放口设置情况如下表所示。</w:t>
            </w:r>
          </w:p>
          <w:p w14:paraId="717A52C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黑体" w:hAnsi="黑体" w:eastAsia="黑体" w:cs="黑体"/>
                <w:color w:val="auto"/>
                <w:kern w:val="2"/>
                <w:sz w:val="21"/>
                <w:szCs w:val="21"/>
                <w:highlight w:val="none"/>
                <w:lang w:val="en-US" w:eastAsia="zh-CN" w:bidi="ar"/>
              </w:rPr>
            </w:pPr>
            <w:r>
              <w:rPr>
                <w:rFonts w:hint="eastAsia" w:ascii="黑体" w:hAnsi="黑体" w:eastAsia="黑体" w:cs="黑体"/>
                <w:color w:val="auto"/>
                <w:kern w:val="2"/>
                <w:sz w:val="21"/>
                <w:szCs w:val="21"/>
                <w:highlight w:val="none"/>
                <w:lang w:val="en-US" w:eastAsia="zh-CN" w:bidi="ar"/>
              </w:rPr>
              <w:t>表4-7废水间接排放口基本情况表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863"/>
              <w:gridCol w:w="878"/>
              <w:gridCol w:w="931"/>
              <w:gridCol w:w="931"/>
              <w:gridCol w:w="817"/>
              <w:gridCol w:w="1121"/>
              <w:gridCol w:w="1096"/>
            </w:tblGrid>
            <w:tr w14:paraId="4F57B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4" w:type="pct"/>
                  <w:vMerge w:val="restart"/>
                  <w:tcBorders>
                    <w:tl2br w:val="nil"/>
                    <w:tr2bl w:val="nil"/>
                  </w:tcBorders>
                  <w:noWrap w:val="0"/>
                  <w:vAlign w:val="center"/>
                </w:tcPr>
                <w:p w14:paraId="70DACFA1">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废水种类</w:t>
                  </w:r>
                </w:p>
              </w:tc>
              <w:tc>
                <w:tcPr>
                  <w:tcW w:w="561" w:type="pct"/>
                  <w:vMerge w:val="restart"/>
                  <w:tcBorders>
                    <w:tl2br w:val="nil"/>
                    <w:tr2bl w:val="nil"/>
                  </w:tcBorders>
                  <w:noWrap w:val="0"/>
                  <w:vAlign w:val="center"/>
                </w:tcPr>
                <w:p w14:paraId="33696081">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排放方式</w:t>
                  </w:r>
                </w:p>
              </w:tc>
              <w:tc>
                <w:tcPr>
                  <w:tcW w:w="571" w:type="pct"/>
                  <w:vMerge w:val="restart"/>
                  <w:tcBorders>
                    <w:tl2br w:val="nil"/>
                    <w:tr2bl w:val="nil"/>
                  </w:tcBorders>
                  <w:noWrap w:val="0"/>
                  <w:vAlign w:val="center"/>
                </w:tcPr>
                <w:p w14:paraId="15416ADA">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排放规律</w:t>
                  </w:r>
                </w:p>
              </w:tc>
              <w:tc>
                <w:tcPr>
                  <w:tcW w:w="605" w:type="pct"/>
                  <w:vMerge w:val="restart"/>
                  <w:tcBorders>
                    <w:tl2br w:val="nil"/>
                    <w:tr2bl w:val="nil"/>
                  </w:tcBorders>
                  <w:noWrap w:val="0"/>
                  <w:vAlign w:val="center"/>
                </w:tcPr>
                <w:p w14:paraId="0FA0AB74">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排放口编号</w:t>
                  </w:r>
                </w:p>
              </w:tc>
              <w:tc>
                <w:tcPr>
                  <w:tcW w:w="605" w:type="pct"/>
                  <w:vMerge w:val="restart"/>
                  <w:tcBorders>
                    <w:tl2br w:val="nil"/>
                    <w:tr2bl w:val="nil"/>
                  </w:tcBorders>
                  <w:noWrap w:val="0"/>
                  <w:vAlign w:val="center"/>
                </w:tcPr>
                <w:p w14:paraId="0A5847D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排放口名称</w:t>
                  </w:r>
                </w:p>
              </w:tc>
              <w:tc>
                <w:tcPr>
                  <w:tcW w:w="531" w:type="pct"/>
                  <w:vMerge w:val="restart"/>
                  <w:tcBorders>
                    <w:tl2br w:val="nil"/>
                    <w:tr2bl w:val="nil"/>
                  </w:tcBorders>
                  <w:noWrap w:val="0"/>
                  <w:vAlign w:val="center"/>
                </w:tcPr>
                <w:p w14:paraId="78A5A73A">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排放口类型</w:t>
                  </w:r>
                </w:p>
              </w:tc>
              <w:tc>
                <w:tcPr>
                  <w:tcW w:w="1441" w:type="pct"/>
                  <w:gridSpan w:val="2"/>
                  <w:tcBorders>
                    <w:tl2br w:val="nil"/>
                    <w:tr2bl w:val="nil"/>
                  </w:tcBorders>
                  <w:noWrap w:val="0"/>
                  <w:vAlign w:val="center"/>
                </w:tcPr>
                <w:p w14:paraId="7E3B8423">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地理坐标</w:t>
                  </w:r>
                </w:p>
              </w:tc>
            </w:tr>
            <w:tr w14:paraId="35E147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684" w:type="pct"/>
                  <w:vMerge w:val="continue"/>
                  <w:tcBorders>
                    <w:tl2br w:val="nil"/>
                    <w:tr2bl w:val="nil"/>
                  </w:tcBorders>
                  <w:noWrap w:val="0"/>
                  <w:vAlign w:val="center"/>
                </w:tcPr>
                <w:p w14:paraId="4324A323">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561" w:type="pct"/>
                  <w:vMerge w:val="continue"/>
                  <w:tcBorders>
                    <w:tl2br w:val="nil"/>
                    <w:tr2bl w:val="nil"/>
                  </w:tcBorders>
                  <w:noWrap w:val="0"/>
                  <w:vAlign w:val="center"/>
                </w:tcPr>
                <w:p w14:paraId="6B8ED60D">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571" w:type="pct"/>
                  <w:vMerge w:val="continue"/>
                  <w:tcBorders>
                    <w:tl2br w:val="nil"/>
                    <w:tr2bl w:val="nil"/>
                  </w:tcBorders>
                  <w:noWrap w:val="0"/>
                  <w:vAlign w:val="center"/>
                </w:tcPr>
                <w:p w14:paraId="6AE7BAD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605" w:type="pct"/>
                  <w:vMerge w:val="continue"/>
                  <w:tcBorders>
                    <w:tl2br w:val="nil"/>
                    <w:tr2bl w:val="nil"/>
                  </w:tcBorders>
                  <w:noWrap w:val="0"/>
                  <w:vAlign w:val="center"/>
                </w:tcPr>
                <w:p w14:paraId="20237D8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605" w:type="pct"/>
                  <w:vMerge w:val="continue"/>
                  <w:tcBorders>
                    <w:tl2br w:val="nil"/>
                    <w:tr2bl w:val="nil"/>
                  </w:tcBorders>
                  <w:noWrap w:val="0"/>
                  <w:vAlign w:val="center"/>
                </w:tcPr>
                <w:p w14:paraId="4D3737C3">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531" w:type="pct"/>
                  <w:vMerge w:val="continue"/>
                  <w:tcBorders>
                    <w:tl2br w:val="nil"/>
                    <w:tr2bl w:val="nil"/>
                  </w:tcBorders>
                  <w:noWrap w:val="0"/>
                  <w:vAlign w:val="center"/>
                </w:tcPr>
                <w:p w14:paraId="58E5A48D">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p>
              </w:tc>
              <w:tc>
                <w:tcPr>
                  <w:tcW w:w="729" w:type="pct"/>
                  <w:tcBorders>
                    <w:tl2br w:val="nil"/>
                    <w:tr2bl w:val="nil"/>
                  </w:tcBorders>
                  <w:noWrap w:val="0"/>
                  <w:vAlign w:val="center"/>
                </w:tcPr>
                <w:p w14:paraId="5A157B70">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经度</w:t>
                  </w:r>
                </w:p>
              </w:tc>
              <w:tc>
                <w:tcPr>
                  <w:tcW w:w="711" w:type="pct"/>
                  <w:tcBorders>
                    <w:tl2br w:val="nil"/>
                    <w:tr2bl w:val="nil"/>
                  </w:tcBorders>
                  <w:noWrap w:val="0"/>
                  <w:vAlign w:val="center"/>
                </w:tcPr>
                <w:p w14:paraId="0401F6B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纬度</w:t>
                  </w:r>
                </w:p>
              </w:tc>
            </w:tr>
            <w:tr w14:paraId="7AAD59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4" w:type="pct"/>
                  <w:tcBorders>
                    <w:tl2br w:val="nil"/>
                    <w:tr2bl w:val="nil"/>
                  </w:tcBorders>
                  <w:noWrap w:val="0"/>
                  <w:vAlign w:val="center"/>
                </w:tcPr>
                <w:p w14:paraId="6AE9551A">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生活污水</w:t>
                  </w:r>
                </w:p>
              </w:tc>
              <w:tc>
                <w:tcPr>
                  <w:tcW w:w="561" w:type="pct"/>
                  <w:tcBorders>
                    <w:tl2br w:val="nil"/>
                    <w:tr2bl w:val="nil"/>
                  </w:tcBorders>
                  <w:noWrap w:val="0"/>
                  <w:vAlign w:val="center"/>
                </w:tcPr>
                <w:p w14:paraId="5585FF78">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间接排放</w:t>
                  </w:r>
                </w:p>
              </w:tc>
              <w:tc>
                <w:tcPr>
                  <w:tcW w:w="571" w:type="pct"/>
                  <w:tcBorders>
                    <w:tl2br w:val="nil"/>
                    <w:tr2bl w:val="nil"/>
                  </w:tcBorders>
                  <w:noWrap w:val="0"/>
                  <w:vAlign w:val="center"/>
                </w:tcPr>
                <w:p w14:paraId="4B0F3A18">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连续排放</w:t>
                  </w:r>
                </w:p>
              </w:tc>
              <w:tc>
                <w:tcPr>
                  <w:tcW w:w="605" w:type="pct"/>
                  <w:tcBorders>
                    <w:tl2br w:val="nil"/>
                    <w:tr2bl w:val="nil"/>
                  </w:tcBorders>
                  <w:noWrap w:val="0"/>
                  <w:vAlign w:val="center"/>
                </w:tcPr>
                <w:p w14:paraId="73C9712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DW001</w:t>
                  </w:r>
                </w:p>
              </w:tc>
              <w:tc>
                <w:tcPr>
                  <w:tcW w:w="605" w:type="pct"/>
                  <w:tcBorders>
                    <w:tl2br w:val="nil"/>
                    <w:tr2bl w:val="nil"/>
                  </w:tcBorders>
                  <w:noWrap w:val="0"/>
                  <w:vAlign w:val="center"/>
                </w:tcPr>
                <w:p w14:paraId="33099484">
                  <w:pPr>
                    <w:jc w:val="center"/>
                    <w:rPr>
                      <w:rFonts w:hint="eastAsia" w:ascii="Times New Roman" w:hAnsi="Times New Roman" w:eastAsia="宋体" w:cs="Times New Roman"/>
                      <w:color w:val="auto"/>
                      <w:kern w:val="2"/>
                      <w:sz w:val="21"/>
                      <w:szCs w:val="21"/>
                      <w:highlight w:val="none"/>
                      <w:lang w:val="en-US" w:eastAsia="zh-CN" w:bidi="ar"/>
                    </w:rPr>
                  </w:pPr>
                  <w:r>
                    <w:rPr>
                      <w:rFonts w:hint="eastAsia" w:cs="Times New Roman"/>
                      <w:color w:val="auto"/>
                      <w:sz w:val="21"/>
                      <w:szCs w:val="21"/>
                      <w:highlight w:val="none"/>
                      <w:vertAlign w:val="baseline"/>
                      <w:lang w:val="en-US" w:eastAsia="zh-CN"/>
                    </w:rPr>
                    <w:t>厂区</w:t>
                  </w:r>
                  <w:r>
                    <w:rPr>
                      <w:rFonts w:hint="default" w:ascii="Times New Roman" w:hAnsi="Times New Roman" w:cs="Times New Roman"/>
                      <w:color w:val="auto"/>
                      <w:sz w:val="21"/>
                      <w:szCs w:val="21"/>
                      <w:highlight w:val="none"/>
                      <w:vertAlign w:val="baseline"/>
                      <w:lang w:val="en-US" w:eastAsia="zh-CN"/>
                    </w:rPr>
                    <w:t>生活污水排放口</w:t>
                  </w:r>
                </w:p>
              </w:tc>
              <w:tc>
                <w:tcPr>
                  <w:tcW w:w="531" w:type="pct"/>
                  <w:tcBorders>
                    <w:tl2br w:val="nil"/>
                    <w:tr2bl w:val="nil"/>
                  </w:tcBorders>
                  <w:noWrap w:val="0"/>
                  <w:vAlign w:val="center"/>
                </w:tcPr>
                <w:p w14:paraId="5D6FC64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一般排放口</w:t>
                  </w:r>
                </w:p>
              </w:tc>
              <w:tc>
                <w:tcPr>
                  <w:tcW w:w="729" w:type="pct"/>
                  <w:tcBorders>
                    <w:tl2br w:val="nil"/>
                    <w:tr2bl w:val="nil"/>
                  </w:tcBorders>
                  <w:noWrap w:val="0"/>
                  <w:vAlign w:val="center"/>
                </w:tcPr>
                <w:p w14:paraId="40CD995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123.70297468</w:t>
                  </w:r>
                </w:p>
              </w:tc>
              <w:tc>
                <w:tcPr>
                  <w:tcW w:w="711" w:type="pct"/>
                  <w:tcBorders>
                    <w:tl2br w:val="nil"/>
                    <w:tr2bl w:val="nil"/>
                  </w:tcBorders>
                  <w:noWrap w:val="0"/>
                  <w:vAlign w:val="center"/>
                </w:tcPr>
                <w:p w14:paraId="59D0F7D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41.47397567</w:t>
                  </w:r>
                </w:p>
              </w:tc>
            </w:tr>
          </w:tbl>
          <w:p w14:paraId="46807C7E">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b w:val="0"/>
                <w:bCs/>
                <w:color w:val="auto"/>
                <w:kern w:val="2"/>
                <w:sz w:val="21"/>
                <w:szCs w:val="21"/>
                <w:highlight w:val="none"/>
              </w:rPr>
            </w:pPr>
            <w:r>
              <w:rPr>
                <w:rFonts w:hint="eastAsia" w:cs="Times New Roman"/>
                <w:b w:val="0"/>
                <w:bCs/>
                <w:color w:val="auto"/>
                <w:kern w:val="2"/>
                <w:sz w:val="24"/>
                <w:szCs w:val="24"/>
                <w:highlight w:val="none"/>
                <w:lang w:val="en-US" w:eastAsia="zh-CN" w:bidi="ar"/>
              </w:rPr>
              <w:t>2.</w:t>
            </w:r>
            <w:r>
              <w:rPr>
                <w:rFonts w:hint="default" w:ascii="Times New Roman" w:hAnsi="Times New Roman" w:eastAsia="宋体" w:cs="Times New Roman"/>
                <w:b w:val="0"/>
                <w:bCs/>
                <w:color w:val="auto"/>
                <w:kern w:val="2"/>
                <w:sz w:val="24"/>
                <w:szCs w:val="24"/>
                <w:highlight w:val="none"/>
                <w:lang w:val="en-US" w:eastAsia="zh-CN" w:bidi="ar"/>
              </w:rPr>
              <w:t>污水处理厂依托可行性分析</w:t>
            </w:r>
          </w:p>
          <w:p w14:paraId="7D711B8B">
            <w:pPr>
              <w:pStyle w:val="3"/>
              <w:keepNext w:val="0"/>
              <w:keepLines w:val="0"/>
              <w:pageBreakBefore w:val="0"/>
              <w:widowControl w:val="0"/>
              <w:kinsoku/>
              <w:wordWrap/>
              <w:overflowPunct/>
              <w:topLinePunct w:val="0"/>
              <w:bidi w:val="0"/>
              <w:adjustRightInd w:val="0"/>
              <w:snapToGrid w:val="0"/>
              <w:spacing w:before="0" w:after="0" w:line="360" w:lineRule="auto"/>
              <w:ind w:right="0" w:firstLine="480" w:firstLineChars="200"/>
              <w:textAlignment w:val="auto"/>
              <w:rPr>
                <w:rFonts w:hint="eastAsia" w:ascii="Times New Roman" w:hAnsi="Times New Roman" w:eastAsia="宋体" w:cs="Times New Roman"/>
                <w:bCs/>
                <w:color w:val="auto"/>
                <w:sz w:val="24"/>
                <w:highlight w:val="none"/>
              </w:rPr>
            </w:pPr>
            <w:r>
              <w:rPr>
                <w:rFonts w:hint="eastAsia" w:ascii="宋体" w:hAnsi="宋体" w:eastAsia="宋体" w:cs="宋体"/>
                <w:color w:val="auto"/>
                <w:kern w:val="0"/>
                <w:sz w:val="24"/>
                <w:szCs w:val="24"/>
                <w:highlight w:val="none"/>
                <w:lang w:val="en-US" w:eastAsia="zh-CN" w:bidi="ar-SA"/>
              </w:rPr>
              <w:t>该项目所在地位于辽宁省环保集团清源水务有限公司高新区污水处理厂服务范围内，废水经区域下水管网排</w:t>
            </w:r>
            <w:r>
              <w:rPr>
                <w:rFonts w:hint="eastAsia" w:ascii="Times New Roman" w:hAnsi="Times New Roman" w:eastAsia="宋体" w:cs="Times New Roman"/>
                <w:color w:val="auto"/>
                <w:sz w:val="24"/>
                <w:highlight w:val="none"/>
              </w:rPr>
              <w:t>入</w:t>
            </w:r>
            <w:r>
              <w:rPr>
                <w:rFonts w:hint="eastAsia" w:ascii="Times New Roman" w:hAnsi="Times New Roman" w:eastAsia="宋体" w:cs="Times New Roman"/>
                <w:color w:val="auto"/>
                <w:sz w:val="24"/>
                <w:highlight w:val="none"/>
                <w:lang w:val="en-US" w:eastAsia="zh-CN"/>
              </w:rPr>
              <w:t>污水处理厂</w:t>
            </w:r>
            <w:r>
              <w:rPr>
                <w:rFonts w:hint="eastAsia" w:ascii="Times New Roman" w:hAnsi="宋体" w:eastAsia="宋体" w:cs="Times New Roman"/>
                <w:smallCaps/>
                <w:color w:val="auto"/>
                <w:sz w:val="24"/>
                <w:highlight w:val="none"/>
              </w:rPr>
              <w:t>处理</w:t>
            </w:r>
            <w:r>
              <w:rPr>
                <w:rFonts w:hint="eastAsia" w:ascii="Times New Roman" w:hAnsi="Times New Roman" w:eastAsia="宋体" w:cs="Times New Roman"/>
                <w:bCs/>
                <w:color w:val="auto"/>
                <w:sz w:val="24"/>
                <w:highlight w:val="none"/>
              </w:rPr>
              <w:t>。</w:t>
            </w:r>
          </w:p>
          <w:p w14:paraId="4A545947">
            <w:pPr>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辽宁省环保集团清源水务有限公司高新区污水处理厂</w:t>
            </w:r>
            <w:r>
              <w:rPr>
                <w:rFonts w:hint="default" w:ascii="Times New Roman" w:hAnsi="Times New Roman" w:eastAsia="宋体" w:cs="Times New Roman"/>
                <w:color w:val="auto"/>
                <w:kern w:val="0"/>
                <w:sz w:val="24"/>
                <w:szCs w:val="24"/>
                <w:highlight w:val="none"/>
              </w:rPr>
              <w:t>位于香槐大道北端</w:t>
            </w:r>
            <w:r>
              <w:rPr>
                <w:rFonts w:hint="eastAsia"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设计处理规模为2万m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rPr>
              <w:t>/日，实际处理规模为</w:t>
            </w:r>
            <w:r>
              <w:rPr>
                <w:rFonts w:hint="eastAsia" w:ascii="Times New Roman" w:hAnsi="Times New Roman" w:eastAsia="宋体" w:cs="Times New Roman"/>
                <w:color w:val="auto"/>
                <w:kern w:val="0"/>
                <w:sz w:val="24"/>
                <w:szCs w:val="24"/>
                <w:highlight w:val="none"/>
                <w:lang w:val="en-US" w:eastAsia="zh-CN"/>
              </w:rPr>
              <w:t>1.6</w:t>
            </w:r>
            <w:r>
              <w:rPr>
                <w:rFonts w:hint="default" w:ascii="Times New Roman" w:hAnsi="Times New Roman" w:eastAsia="宋体" w:cs="Times New Roman"/>
                <w:color w:val="auto"/>
                <w:kern w:val="0"/>
                <w:sz w:val="24"/>
                <w:szCs w:val="24"/>
                <w:highlight w:val="none"/>
              </w:rPr>
              <w:t>万m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rPr>
              <w:t>/日。污水处理厂采用</w:t>
            </w:r>
            <w:r>
              <w:rPr>
                <w:rFonts w:hint="eastAsia" w:ascii="Times New Roman" w:hAnsi="Times New Roman" w:eastAsia="宋体" w:cs="Times New Roman"/>
                <w:color w:val="auto"/>
                <w:kern w:val="0"/>
                <w:sz w:val="24"/>
                <w:szCs w:val="24"/>
                <w:highlight w:val="none"/>
                <w:lang w:val="en-US" w:eastAsia="zh-CN"/>
              </w:rPr>
              <w:t>水解酸化—生化处理—絮凝沉淀—接触消毒</w:t>
            </w:r>
            <w:r>
              <w:rPr>
                <w:rFonts w:hint="default" w:ascii="Times New Roman" w:hAnsi="Times New Roman" w:eastAsia="宋体" w:cs="Times New Roman"/>
                <w:color w:val="auto"/>
                <w:kern w:val="0"/>
                <w:sz w:val="24"/>
                <w:szCs w:val="24"/>
                <w:highlight w:val="none"/>
              </w:rPr>
              <w:t>处理工艺</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lang w:val="en-US" w:eastAsia="zh-CN"/>
              </w:rPr>
              <w:t>出水符合</w:t>
            </w:r>
            <w:r>
              <w:rPr>
                <w:rFonts w:hint="eastAsia" w:ascii="Times New Roman" w:hAnsi="Times New Roman" w:eastAsia="宋体" w:cs="Times New Roman"/>
                <w:color w:val="auto"/>
                <w:kern w:val="0"/>
                <w:sz w:val="24"/>
                <w:szCs w:val="24"/>
                <w:highlight w:val="none"/>
              </w:rPr>
              <w:t>《城镇污水处理厂污染物排放标准》（GB18918-2002）一级A标准。</w:t>
            </w:r>
            <w:r>
              <w:rPr>
                <w:rFonts w:hint="default" w:ascii="Times New Roman" w:hAnsi="Times New Roman" w:eastAsia="宋体" w:cs="Times New Roman"/>
                <w:color w:val="auto"/>
                <w:kern w:val="0"/>
                <w:sz w:val="24"/>
                <w:szCs w:val="24"/>
                <w:highlight w:val="none"/>
                <w:lang w:val="en-US" w:eastAsia="zh-CN"/>
              </w:rPr>
              <w:t>根据污水处理厂排污许可（</w:t>
            </w:r>
            <w:r>
              <w:rPr>
                <w:rFonts w:hint="default" w:ascii="Times New Roman" w:hAnsi="Times New Roman" w:eastAsia="微软雅黑" w:cs="Times New Roman"/>
                <w:i w:val="0"/>
                <w:iCs w:val="0"/>
                <w:caps w:val="0"/>
                <w:color w:val="auto"/>
                <w:spacing w:val="0"/>
                <w:sz w:val="24"/>
                <w:szCs w:val="24"/>
                <w:highlight w:val="none"/>
                <w:shd w:val="clear" w:color="auto" w:fill="FFFFFF"/>
              </w:rPr>
              <w:t>912105001196614127001</w:t>
            </w:r>
            <w:r>
              <w:rPr>
                <w:rFonts w:hint="default" w:ascii="Times New Roman" w:hAnsi="Times New Roman" w:eastAsia="宋体" w:cs="Times New Roman"/>
                <w:color w:val="auto"/>
                <w:kern w:val="0"/>
                <w:sz w:val="24"/>
                <w:szCs w:val="24"/>
                <w:highlight w:val="none"/>
              </w:rPr>
              <w:t>Q</w:t>
            </w:r>
            <w:r>
              <w:rPr>
                <w:rFonts w:hint="default" w:ascii="Times New Roman" w:hAnsi="Times New Roman" w:eastAsia="宋体" w:cs="Times New Roman"/>
                <w:color w:val="auto"/>
                <w:kern w:val="0"/>
                <w:sz w:val="24"/>
                <w:szCs w:val="24"/>
                <w:highlight w:val="none"/>
                <w:lang w:val="en-US" w:eastAsia="zh-CN"/>
              </w:rPr>
              <w:t>），污水处理厂出水控制</w:t>
            </w:r>
            <w:r>
              <w:rPr>
                <w:rFonts w:hint="eastAsia" w:ascii="Times New Roman" w:hAnsi="Times New Roman" w:eastAsia="宋体" w:cs="Times New Roman"/>
                <w:color w:val="auto"/>
                <w:kern w:val="0"/>
                <w:sz w:val="24"/>
                <w:szCs w:val="24"/>
                <w:highlight w:val="none"/>
                <w:lang w:val="en-US" w:eastAsia="zh-CN"/>
              </w:rPr>
              <w:t>指标包含本项目排污废水污染因子（</w:t>
            </w:r>
            <w:r>
              <w:rPr>
                <w:rFonts w:hint="eastAsia" w:ascii="Times New Roman" w:hAnsi="Times New Roman" w:eastAsia="宋体" w:cs="Times New Roman"/>
                <w:color w:val="auto"/>
                <w:kern w:val="0"/>
                <w:sz w:val="24"/>
                <w:szCs w:val="24"/>
                <w:highlight w:val="none"/>
              </w:rPr>
              <w:t>COD</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rPr>
              <w:t>SS</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lang w:val="zh-CN"/>
              </w:rPr>
              <w:t>氨氮、</w:t>
            </w:r>
            <w:r>
              <w:rPr>
                <w:rFonts w:hint="eastAsia" w:ascii="Times New Roman" w:hAnsi="Times New Roman" w:eastAsia="宋体" w:cs="Times New Roman"/>
                <w:color w:val="auto"/>
                <w:kern w:val="0"/>
                <w:sz w:val="24"/>
                <w:szCs w:val="24"/>
                <w:highlight w:val="none"/>
                <w:lang w:eastAsia="zh-CN"/>
              </w:rPr>
              <w:t>BOD</w:t>
            </w:r>
            <w:r>
              <w:rPr>
                <w:rFonts w:hint="eastAsia" w:ascii="Times New Roman" w:hAnsi="Times New Roman" w:eastAsia="宋体" w:cs="Times New Roman"/>
                <w:color w:val="auto"/>
                <w:kern w:val="0"/>
                <w:sz w:val="24"/>
                <w:szCs w:val="24"/>
                <w:highlight w:val="none"/>
                <w:vertAlign w:val="subscript"/>
                <w:lang w:eastAsia="zh-CN"/>
              </w:rPr>
              <w:t>5</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lang w:val="en-US" w:eastAsia="zh-CN"/>
              </w:rPr>
              <w:t>TP、TN），且根据污水处理厂排污许可执行情况报告，污水处理厂出口水质稳定达标排放。</w:t>
            </w:r>
          </w:p>
          <w:p w14:paraId="7B42A78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本项目排入排水管网的</w:t>
            </w:r>
            <w:r>
              <w:rPr>
                <w:rFonts w:hint="default" w:ascii="Times New Roman" w:hAnsi="Times New Roman" w:eastAsia="宋体" w:cs="Times New Roman"/>
                <w:color w:val="auto"/>
                <w:kern w:val="0"/>
                <w:sz w:val="24"/>
                <w:szCs w:val="24"/>
                <w:highlight w:val="none"/>
              </w:rPr>
              <w:t>废水量为</w:t>
            </w:r>
            <w:r>
              <w:rPr>
                <w:rFonts w:hint="eastAsia" w:ascii="Times New Roman" w:hAnsi="Times New Roman" w:cs="Times New Roman"/>
                <w:b w:val="0"/>
                <w:bCs w:val="0"/>
                <w:color w:val="auto"/>
                <w:sz w:val="24"/>
                <w:szCs w:val="24"/>
                <w:highlight w:val="none"/>
                <w:lang w:val="en-US" w:eastAsia="zh-CN"/>
              </w:rPr>
              <w:t>298.3</w:t>
            </w:r>
            <w:r>
              <w:rPr>
                <w:rFonts w:hint="default" w:ascii="Times New Roman" w:hAnsi="Times New Roman" w:eastAsia="宋体" w:cs="Times New Roman"/>
                <w:color w:val="auto"/>
                <w:kern w:val="0"/>
                <w:sz w:val="24"/>
                <w:szCs w:val="24"/>
                <w:highlight w:val="none"/>
              </w:rPr>
              <w:t>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rPr>
              <w:t>/a</w:t>
            </w:r>
            <w:r>
              <w:rPr>
                <w:rFonts w:hint="eastAsia"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日进入</w:t>
            </w:r>
            <w:r>
              <w:rPr>
                <w:rFonts w:hint="eastAsia" w:ascii="Times New Roman" w:hAnsi="Times New Roman" w:eastAsia="宋体" w:cs="Times New Roman"/>
                <w:color w:val="auto"/>
                <w:kern w:val="0"/>
                <w:sz w:val="24"/>
                <w:szCs w:val="24"/>
                <w:highlight w:val="none"/>
                <w:lang w:eastAsia="zh-CN"/>
              </w:rPr>
              <w:t>污水处理厂</w:t>
            </w:r>
            <w:r>
              <w:rPr>
                <w:rFonts w:hint="eastAsia" w:ascii="Times New Roman" w:hAnsi="Times New Roman" w:eastAsia="宋体" w:cs="Times New Roman"/>
                <w:color w:val="auto"/>
                <w:sz w:val="24"/>
                <w:szCs w:val="24"/>
                <w:highlight w:val="none"/>
                <w:lang w:val="en-US" w:eastAsia="zh-CN"/>
              </w:rPr>
              <w:t>的废水最大量为</w:t>
            </w:r>
            <w:r>
              <w:rPr>
                <w:rFonts w:hint="eastAsia" w:ascii="Times New Roman" w:hAnsi="Times New Roman" w:cs="Times New Roman"/>
                <w:b w:val="0"/>
                <w:bCs w:val="0"/>
                <w:color w:val="auto"/>
                <w:sz w:val="24"/>
                <w:szCs w:val="24"/>
                <w:highlight w:val="none"/>
                <w:lang w:val="en-US" w:eastAsia="zh-CN"/>
              </w:rPr>
              <w:t>0.904</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kern w:val="0"/>
                <w:sz w:val="24"/>
                <w:szCs w:val="24"/>
                <w:highlight w:val="none"/>
                <w:lang w:val="en-US" w:eastAsia="zh-CN"/>
              </w:rPr>
              <w:t>/d，远小于污水处理厂余量0.4</w:t>
            </w:r>
            <w:r>
              <w:rPr>
                <w:rFonts w:hint="default" w:ascii="Times New Roman" w:hAnsi="Times New Roman" w:eastAsia="宋体" w:cs="Times New Roman"/>
                <w:color w:val="auto"/>
                <w:kern w:val="0"/>
                <w:sz w:val="24"/>
                <w:szCs w:val="24"/>
                <w:highlight w:val="none"/>
                <w:lang w:val="en-US" w:eastAsia="zh-CN"/>
              </w:rPr>
              <w:t>万m</w:t>
            </w:r>
            <w:r>
              <w:rPr>
                <w:rFonts w:hint="eastAsia" w:ascii="Times New Roman" w:hAnsi="Times New Roman" w:eastAsia="宋体" w:cs="Times New Roman"/>
                <w:color w:val="auto"/>
                <w:kern w:val="0"/>
                <w:sz w:val="24"/>
                <w:szCs w:val="24"/>
                <w:highlight w:val="none"/>
                <w:vertAlign w:val="superscript"/>
                <w:lang w:val="en-US" w:eastAsia="zh-CN"/>
              </w:rPr>
              <w:t>3</w:t>
            </w:r>
            <w:r>
              <w:rPr>
                <w:rFonts w:hint="default" w:ascii="Times New Roman" w:hAnsi="Times New Roman" w:eastAsia="宋体" w:cs="Times New Roman"/>
                <w:color w:val="auto"/>
                <w:kern w:val="0"/>
                <w:sz w:val="24"/>
                <w:szCs w:val="24"/>
                <w:highlight w:val="none"/>
                <w:lang w:val="en-US" w:eastAsia="zh-CN"/>
              </w:rPr>
              <w:t>/日</w:t>
            </w:r>
            <w:r>
              <w:rPr>
                <w:rFonts w:hint="eastAsia" w:ascii="Times New Roman" w:hAnsi="Times New Roman" w:eastAsia="宋体" w:cs="Times New Roman"/>
                <w:color w:val="auto"/>
                <w:kern w:val="0"/>
                <w:sz w:val="24"/>
                <w:szCs w:val="24"/>
                <w:highlight w:val="none"/>
                <w:lang w:val="en-US" w:eastAsia="zh-CN"/>
              </w:rPr>
              <w:t>，依托可行。</w:t>
            </w:r>
          </w:p>
          <w:p w14:paraId="4C527F83">
            <w:pPr>
              <w:keepNext w:val="0"/>
              <w:keepLines w:val="0"/>
              <w:pageBreakBefore w:val="0"/>
              <w:widowControl/>
              <w:kinsoku/>
              <w:wordWrap/>
              <w:overflowPunct/>
              <w:topLinePunct w:val="0"/>
              <w:bidi w:val="0"/>
              <w:snapToGrid w:val="0"/>
              <w:spacing w:line="360" w:lineRule="auto"/>
              <w:ind w:right="0" w:firstLine="480" w:firstLineChars="200"/>
              <w:textAlignment w:val="auto"/>
              <w:rPr>
                <w:rFonts w:hint="eastAsia" w:ascii="Times New Roman" w:hAnsi="Times New Roman" w:eastAsia="宋体" w:cs="Times New Roman"/>
                <w:bCs/>
                <w:snapToGrid w:val="0"/>
                <w:color w:val="auto"/>
                <w:sz w:val="24"/>
                <w:szCs w:val="24"/>
                <w:highlight w:val="none"/>
              </w:rPr>
            </w:pPr>
            <w:r>
              <w:rPr>
                <w:rFonts w:hint="eastAsia" w:ascii="Times New Roman" w:hAnsi="Times New Roman" w:eastAsia="宋体" w:cs="Times New Roman"/>
                <w:color w:val="auto"/>
                <w:kern w:val="0"/>
                <w:sz w:val="24"/>
                <w:highlight w:val="none"/>
              </w:rPr>
              <w:t>本项目</w:t>
            </w:r>
            <w:r>
              <w:rPr>
                <w:rFonts w:hint="eastAsia" w:ascii="Times New Roman" w:hAnsi="Times New Roman" w:eastAsia="宋体" w:cs="Times New Roman"/>
                <w:color w:val="auto"/>
                <w:kern w:val="0"/>
                <w:sz w:val="24"/>
                <w:highlight w:val="none"/>
                <w:lang w:val="en-US" w:eastAsia="zh-CN"/>
              </w:rPr>
              <w:t>废水</w:t>
            </w:r>
            <w:r>
              <w:rPr>
                <w:rFonts w:hint="eastAsia" w:ascii="Times New Roman" w:hAnsi="Times New Roman" w:eastAsia="宋体" w:cs="Times New Roman"/>
                <w:color w:val="auto"/>
                <w:sz w:val="24"/>
                <w:highlight w:val="none"/>
              </w:rPr>
              <w:t>污染物排放浓度满足《污水综合排放标准》（DB21/1627-2008）表2标</w:t>
            </w:r>
            <w:r>
              <w:rPr>
                <w:rFonts w:hint="eastAsia" w:ascii="Times New Roman" w:hAnsi="Times New Roman" w:eastAsia="宋体" w:cs="Times New Roman"/>
                <w:bCs/>
                <w:snapToGrid w:val="0"/>
                <w:color w:val="auto"/>
                <w:sz w:val="24"/>
                <w:szCs w:val="24"/>
                <w:highlight w:val="none"/>
              </w:rPr>
              <w:t>准及</w:t>
            </w:r>
            <w:r>
              <w:rPr>
                <w:rFonts w:hint="eastAsia" w:ascii="Times New Roman" w:hAnsi="Times New Roman" w:eastAsia="宋体" w:cs="Times New Roman"/>
                <w:bCs/>
                <w:snapToGrid w:val="0"/>
                <w:color w:val="auto"/>
                <w:sz w:val="24"/>
                <w:szCs w:val="24"/>
                <w:highlight w:val="none"/>
                <w:lang w:eastAsia="zh-CN"/>
              </w:rPr>
              <w:t>污水处理厂</w:t>
            </w:r>
            <w:r>
              <w:rPr>
                <w:rFonts w:hint="eastAsia" w:ascii="Times New Roman" w:hAnsi="Times New Roman" w:eastAsia="宋体" w:cs="Times New Roman"/>
                <w:bCs/>
                <w:snapToGrid w:val="0"/>
                <w:color w:val="auto"/>
                <w:sz w:val="24"/>
                <w:szCs w:val="24"/>
                <w:highlight w:val="none"/>
              </w:rPr>
              <w:t>进水水质要求，污水排放量小于污水处理厂剩余污水处理量，</w:t>
            </w:r>
            <w:r>
              <w:rPr>
                <w:rFonts w:hint="eastAsia" w:ascii="Times New Roman" w:hAnsi="Times New Roman" w:eastAsia="宋体" w:cs="Times New Roman"/>
                <w:bCs/>
                <w:snapToGrid w:val="0"/>
                <w:color w:val="auto"/>
                <w:sz w:val="24"/>
                <w:szCs w:val="24"/>
                <w:highlight w:val="none"/>
                <w:lang w:val="en-US" w:eastAsia="zh-CN"/>
              </w:rPr>
              <w:t>污水处理厂</w:t>
            </w:r>
            <w:r>
              <w:rPr>
                <w:rFonts w:hint="default" w:ascii="Times New Roman" w:hAnsi="Times New Roman" w:eastAsia="宋体" w:cs="Times New Roman"/>
                <w:bCs/>
                <w:snapToGrid w:val="0"/>
                <w:color w:val="auto"/>
                <w:sz w:val="24"/>
                <w:szCs w:val="24"/>
                <w:highlight w:val="none"/>
              </w:rPr>
              <w:t>处理余量可满足本项目</w:t>
            </w:r>
            <w:r>
              <w:rPr>
                <w:rFonts w:hint="eastAsia" w:ascii="Times New Roman" w:hAnsi="Times New Roman" w:eastAsia="宋体" w:cs="Times New Roman"/>
                <w:bCs/>
                <w:snapToGrid w:val="0"/>
                <w:color w:val="auto"/>
                <w:sz w:val="24"/>
                <w:szCs w:val="24"/>
                <w:highlight w:val="none"/>
                <w:lang w:val="en-US" w:eastAsia="zh-CN"/>
              </w:rPr>
              <w:t>废水量的</w:t>
            </w:r>
            <w:r>
              <w:rPr>
                <w:rFonts w:hint="default" w:ascii="Times New Roman" w:hAnsi="Times New Roman" w:eastAsia="宋体" w:cs="Times New Roman"/>
                <w:bCs/>
                <w:snapToGrid w:val="0"/>
                <w:color w:val="auto"/>
                <w:sz w:val="24"/>
                <w:szCs w:val="24"/>
                <w:highlight w:val="none"/>
              </w:rPr>
              <w:t>需求</w:t>
            </w:r>
            <w:r>
              <w:rPr>
                <w:rFonts w:hint="eastAsia" w:ascii="Times New Roman" w:hAnsi="Times New Roman" w:eastAsia="宋体" w:cs="Times New Roman"/>
                <w:bCs/>
                <w:snapToGrid w:val="0"/>
                <w:color w:val="auto"/>
                <w:sz w:val="24"/>
                <w:szCs w:val="24"/>
                <w:highlight w:val="none"/>
                <w:lang w:eastAsia="zh-CN"/>
              </w:rPr>
              <w:t>，</w:t>
            </w:r>
            <w:r>
              <w:rPr>
                <w:rFonts w:hint="eastAsia" w:ascii="Times New Roman" w:hAnsi="Times New Roman" w:eastAsia="宋体" w:cs="Times New Roman"/>
                <w:bCs/>
                <w:snapToGrid w:val="0"/>
                <w:color w:val="auto"/>
                <w:sz w:val="24"/>
                <w:szCs w:val="24"/>
                <w:highlight w:val="none"/>
              </w:rPr>
              <w:t>项目周边有排水管网，因此项目排水进</w:t>
            </w:r>
            <w:r>
              <w:rPr>
                <w:rFonts w:hint="eastAsia" w:ascii="宋体" w:hAnsi="宋体" w:eastAsia="宋体" w:cs="宋体"/>
                <w:color w:val="auto"/>
                <w:kern w:val="0"/>
                <w:sz w:val="24"/>
                <w:szCs w:val="24"/>
                <w:highlight w:val="none"/>
                <w:lang w:val="en-US" w:eastAsia="zh-CN" w:bidi="ar-SA"/>
              </w:rPr>
              <w:t>辽宁省环保集团清源水务有限公司高新区污水处理厂</w:t>
            </w:r>
            <w:r>
              <w:rPr>
                <w:rFonts w:hint="eastAsia" w:ascii="Times New Roman" w:hAnsi="Times New Roman" w:eastAsia="宋体" w:cs="Times New Roman"/>
                <w:bCs/>
                <w:snapToGrid w:val="0"/>
                <w:color w:val="auto"/>
                <w:sz w:val="24"/>
                <w:szCs w:val="24"/>
                <w:highlight w:val="none"/>
              </w:rPr>
              <w:t>可行。</w:t>
            </w:r>
          </w:p>
          <w:p w14:paraId="47369811">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3.生产废水</w:t>
            </w:r>
          </w:p>
          <w:p w14:paraId="0E00D5B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eastAsia" w:ascii="Times New Roman" w:hAnsi="Times New Roman" w:cs="Times New Roman"/>
                <w:color w:val="auto"/>
                <w:highlight w:val="none"/>
                <w:lang w:val="en-US" w:eastAsia="zh-CN"/>
              </w:rPr>
            </w:pPr>
            <w:r>
              <w:rPr>
                <w:rFonts w:hint="eastAsia" w:cs="Times New Roman"/>
                <w:color w:val="auto"/>
                <w:sz w:val="24"/>
                <w:lang w:val="en-US" w:eastAsia="zh-CN"/>
              </w:rPr>
              <w:t>本项目运行过程中无生产废水产生。</w:t>
            </w:r>
          </w:p>
          <w:p w14:paraId="67A45995">
            <w:pPr>
              <w:pStyle w:val="11"/>
              <w:pageBreakBefore w:val="0"/>
              <w:kinsoku/>
              <w:wordWrap/>
              <w:overflowPunct/>
              <w:topLinePunct w:val="0"/>
              <w:autoSpaceDE/>
              <w:autoSpaceDN/>
              <w:bidi w:val="0"/>
              <w:adjustRightInd w:val="0"/>
              <w:snapToGrid w:val="0"/>
              <w:spacing w:beforeLines="0" w:afterLines="0"/>
              <w:ind w:right="0" w:firstLine="482" w:firstLineChars="200"/>
              <w:textAlignment w:val="auto"/>
              <w:rPr>
                <w:rFonts w:hint="default"/>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4.2.</w:t>
            </w: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噪声</w:t>
            </w:r>
          </w:p>
          <w:p w14:paraId="7C129BD9">
            <w:pPr>
              <w:pStyle w:val="34"/>
              <w:keepNext w:val="0"/>
              <w:keepLines w:val="0"/>
              <w:pageBreakBefore w:val="0"/>
              <w:kinsoku/>
              <w:wordWrap/>
              <w:overflowPunct/>
              <w:topLinePunct w:val="0"/>
              <w:autoSpaceDE/>
              <w:autoSpaceDN/>
              <w:bidi w:val="0"/>
              <w:adjustRightInd w:val="0"/>
              <w:snapToGrid w:val="0"/>
              <w:spacing w:after="0"/>
              <w:ind w:left="0" w:leftChars="0" w:firstLine="48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kern w:val="2"/>
                <w:szCs w:val="24"/>
                <w:highlight w:val="none"/>
                <w:lang w:val="en-US" w:eastAsia="zh-CN"/>
              </w:rPr>
              <w:t>1.</w:t>
            </w:r>
            <w:r>
              <w:rPr>
                <w:rFonts w:hint="default" w:ascii="Times New Roman" w:hAnsi="Times New Roman" w:cs="Times New Roman"/>
                <w:color w:val="auto"/>
                <w:kern w:val="2"/>
                <w:szCs w:val="24"/>
                <w:highlight w:val="none"/>
              </w:rPr>
              <w:t>噪声源强</w:t>
            </w:r>
          </w:p>
          <w:p w14:paraId="05C56F29">
            <w:pPr>
              <w:keepNext w:val="0"/>
              <w:keepLines w:val="0"/>
              <w:pageBreakBefore w:val="0"/>
              <w:widowControl/>
              <w:suppressLineNumbers w:val="0"/>
              <w:kinsoku/>
              <w:wordWrap/>
              <w:overflowPunct/>
              <w:topLinePunct w:val="0"/>
              <w:autoSpaceDE/>
              <w:autoSpaceDN/>
              <w:bidi w:val="0"/>
              <w:adjustRightInd w:val="0"/>
              <w:snapToGrid w:val="0"/>
              <w:spacing w:line="360" w:lineRule="auto"/>
              <w:ind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w:t>
            </w:r>
            <w:r>
              <w:rPr>
                <w:rFonts w:hint="eastAsia" w:ascii="Times New Roman" w:hAnsi="Times New Roman" w:eastAsia="宋体" w:cs="Times New Roman"/>
                <w:color w:val="auto"/>
                <w:kern w:val="2"/>
                <w:sz w:val="24"/>
                <w:szCs w:val="24"/>
                <w:highlight w:val="none"/>
                <w:lang w:val="en-US" w:eastAsia="zh-CN" w:bidi="ar-SA"/>
              </w:rPr>
              <w:t>产噪设备主要为</w:t>
            </w:r>
            <w:r>
              <w:rPr>
                <w:rFonts w:hint="eastAsia" w:cs="Times New Roman"/>
                <w:color w:val="auto"/>
                <w:kern w:val="2"/>
                <w:sz w:val="24"/>
                <w:szCs w:val="24"/>
                <w:highlight w:val="none"/>
                <w:lang w:val="en-US" w:eastAsia="zh-CN" w:bidi="ar-SA"/>
              </w:rPr>
              <w:t>泵、充装系统等</w:t>
            </w:r>
            <w:r>
              <w:rPr>
                <w:rFonts w:hint="eastAsia" w:ascii="Times New Roman" w:hAnsi="Times New Roman" w:eastAsia="宋体" w:cs="Times New Roman"/>
                <w:color w:val="auto"/>
                <w:kern w:val="2"/>
                <w:sz w:val="24"/>
                <w:szCs w:val="24"/>
                <w:highlight w:val="none"/>
                <w:lang w:val="en-US" w:eastAsia="zh-CN" w:bidi="ar-SA"/>
              </w:rPr>
              <w:t>产生的噪声。</w:t>
            </w:r>
            <w:r>
              <w:rPr>
                <w:rFonts w:hint="default" w:ascii="Times New Roman" w:hAnsi="Times New Roman" w:eastAsia="宋体" w:cs="Times New Roman"/>
                <w:color w:val="auto"/>
                <w:kern w:val="2"/>
                <w:sz w:val="24"/>
                <w:szCs w:val="24"/>
                <w:highlight w:val="none"/>
                <w:lang w:val="en-US" w:eastAsia="zh-CN" w:bidi="ar-SA"/>
              </w:rPr>
              <w:t xml:space="preserve">参考《污染源源强核算技术指南 </w:t>
            </w:r>
            <w:r>
              <w:rPr>
                <w:rFonts w:hint="eastAsia" w:cs="Times New Roman"/>
                <w:color w:val="auto"/>
                <w:kern w:val="2"/>
                <w:sz w:val="24"/>
                <w:szCs w:val="24"/>
                <w:highlight w:val="none"/>
                <w:lang w:val="en-US" w:eastAsia="zh-CN" w:bidi="ar-SA"/>
              </w:rPr>
              <w:t>石油炼制工业</w:t>
            </w:r>
            <w:r>
              <w:rPr>
                <w:rFonts w:hint="default" w:ascii="Times New Roman" w:hAnsi="Times New Roman" w:eastAsia="宋体" w:cs="Times New Roman"/>
                <w:color w:val="auto"/>
                <w:kern w:val="2"/>
                <w:sz w:val="24"/>
                <w:szCs w:val="24"/>
                <w:highlight w:val="none"/>
                <w:lang w:val="en-US" w:eastAsia="zh-CN" w:bidi="ar-SA"/>
              </w:rPr>
              <w:t>》（HJ</w:t>
            </w:r>
            <w:r>
              <w:rPr>
                <w:rFonts w:hint="eastAsia" w:cs="Times New Roman"/>
                <w:color w:val="auto"/>
                <w:kern w:val="2"/>
                <w:sz w:val="24"/>
                <w:szCs w:val="24"/>
                <w:highlight w:val="none"/>
                <w:lang w:val="en-US" w:eastAsia="zh-CN" w:bidi="ar-SA"/>
              </w:rPr>
              <w:t>982-2018</w:t>
            </w:r>
            <w:r>
              <w:rPr>
                <w:rFonts w:hint="default" w:ascii="Times New Roman" w:hAnsi="Times New Roman" w:eastAsia="宋体" w:cs="Times New Roman"/>
                <w:color w:val="auto"/>
                <w:kern w:val="2"/>
                <w:sz w:val="24"/>
                <w:szCs w:val="24"/>
                <w:highlight w:val="none"/>
                <w:lang w:val="en-US" w:eastAsia="zh-CN" w:bidi="ar-SA"/>
              </w:rPr>
              <w:t>）给出本项目主要噪声设备源强。</w:t>
            </w:r>
          </w:p>
          <w:p w14:paraId="2837AE06">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本项目选用低噪声设备，</w:t>
            </w:r>
            <w:r>
              <w:rPr>
                <w:rFonts w:hint="eastAsia" w:ascii="Times New Roman" w:hAnsi="Times New Roman" w:cs="Times New Roman"/>
                <w:color w:val="auto"/>
                <w:kern w:val="2"/>
                <w:sz w:val="24"/>
                <w:szCs w:val="24"/>
                <w:highlight w:val="none"/>
                <w:lang w:val="en-US" w:eastAsia="zh-CN" w:bidi="ar-SA"/>
              </w:rPr>
              <w:t>参考《噪声控制工程》及《环境噪声控制》，本项目车间</w:t>
            </w:r>
            <w:r>
              <w:rPr>
                <w:rFonts w:hint="default" w:ascii="Times New Roman" w:hAnsi="Times New Roman" w:cs="Times New Roman"/>
                <w:color w:val="auto"/>
                <w:kern w:val="2"/>
                <w:sz w:val="24"/>
                <w:szCs w:val="24"/>
                <w:highlight w:val="none"/>
                <w:lang w:val="en-US" w:eastAsia="zh-CN" w:bidi="ar-SA"/>
              </w:rPr>
              <w:t>结构隔声量取15dB（A）</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设备加装</w:t>
            </w:r>
            <w:r>
              <w:rPr>
                <w:rFonts w:hint="eastAsia" w:ascii="Times New Roman" w:hAnsi="Times New Roman" w:cs="Times New Roman"/>
                <w:color w:val="auto"/>
                <w:kern w:val="2"/>
                <w:sz w:val="24"/>
                <w:szCs w:val="24"/>
                <w:highlight w:val="none"/>
                <w:lang w:val="en-US" w:eastAsia="zh-CN" w:bidi="ar-SA"/>
              </w:rPr>
              <w:t>减振</w:t>
            </w:r>
            <w:r>
              <w:rPr>
                <w:rFonts w:hint="default" w:ascii="Times New Roman" w:hAnsi="Times New Roman" w:cs="Times New Roman"/>
                <w:color w:val="auto"/>
                <w:kern w:val="2"/>
                <w:sz w:val="24"/>
                <w:szCs w:val="24"/>
                <w:highlight w:val="none"/>
                <w:lang w:val="en-US" w:eastAsia="zh-CN" w:bidi="ar-SA"/>
              </w:rPr>
              <w:t>装置、风机进口安装消声器降噪效果取5dB（A）。</w:t>
            </w:r>
          </w:p>
          <w:p w14:paraId="5565AB4F">
            <w:pPr>
              <w:pageBreakBefore w:val="0"/>
              <w:kinsoku/>
              <w:overflowPunct/>
              <w:bidi w:val="0"/>
              <w:adjustRightInd w:val="0"/>
              <w:snapToGrid w:val="0"/>
              <w:ind w:left="0" w:leftChars="0" w:right="0"/>
              <w:jc w:val="center"/>
              <w:rPr>
                <w:rFonts w:hint="eastAsia" w:ascii="黑体" w:hAnsi="黑体" w:eastAsia="黑体" w:cs="黑体"/>
                <w:b w:val="0"/>
                <w:bCs/>
                <w:color w:val="auto"/>
                <w:sz w:val="21"/>
                <w:szCs w:val="21"/>
                <w:highlight w:val="none"/>
                <w:lang w:val="en-US" w:eastAsia="zh-CN"/>
              </w:rPr>
            </w:pPr>
            <w:r>
              <w:rPr>
                <w:rFonts w:hint="eastAsia" w:ascii="黑体" w:hAnsi="黑体" w:eastAsia="黑体" w:cs="黑体"/>
                <w:b w:val="0"/>
                <w:bCs/>
                <w:color w:val="auto"/>
                <w:sz w:val="21"/>
                <w:szCs w:val="21"/>
                <w:highlight w:val="none"/>
                <w:lang w:val="en-US" w:eastAsia="zh-CN"/>
              </w:rPr>
              <w:t>表4-8工业企业噪声源调查清单（室内声源）</w:t>
            </w:r>
          </w:p>
          <w:tbl>
            <w:tblPr>
              <w:tblStyle w:val="25"/>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83"/>
              <w:gridCol w:w="1937"/>
              <w:gridCol w:w="463"/>
              <w:gridCol w:w="852"/>
              <w:gridCol w:w="1600"/>
              <w:gridCol w:w="825"/>
            </w:tblGrid>
            <w:tr w14:paraId="79EF0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tcBorders>
                    <w:tl2br w:val="nil"/>
                    <w:tr2bl w:val="nil"/>
                  </w:tcBorders>
                  <w:vAlign w:val="center"/>
                </w:tcPr>
                <w:p w14:paraId="29487E6E">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lang w:eastAsia="zh-CN"/>
                    </w:rPr>
                    <w:t>建筑物名称</w:t>
                  </w:r>
                </w:p>
              </w:tc>
              <w:tc>
                <w:tcPr>
                  <w:tcW w:w="834" w:type="pct"/>
                  <w:tcBorders>
                    <w:tl2br w:val="nil"/>
                    <w:tr2bl w:val="nil"/>
                  </w:tcBorders>
                  <w:vAlign w:val="center"/>
                </w:tcPr>
                <w:p w14:paraId="7490F340">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rPr>
                    <w:t>噪声源</w:t>
                  </w:r>
                </w:p>
              </w:tc>
              <w:tc>
                <w:tcPr>
                  <w:tcW w:w="1259" w:type="pct"/>
                  <w:tcBorders>
                    <w:tl2br w:val="nil"/>
                    <w:tr2bl w:val="nil"/>
                  </w:tcBorders>
                  <w:vAlign w:val="center"/>
                </w:tcPr>
                <w:p w14:paraId="5D2B80FD">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lang w:val="en-US" w:eastAsia="zh-CN"/>
                    </w:rPr>
                    <w:t>型号</w:t>
                  </w:r>
                </w:p>
              </w:tc>
              <w:tc>
                <w:tcPr>
                  <w:tcW w:w="301" w:type="pct"/>
                  <w:tcBorders>
                    <w:tl2br w:val="nil"/>
                    <w:tr2bl w:val="nil"/>
                  </w:tcBorders>
                  <w:vAlign w:val="center"/>
                </w:tcPr>
                <w:p w14:paraId="1F2CEE22">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lang w:val="en-US" w:eastAsia="zh-CN"/>
                    </w:rPr>
                    <w:t>数量</w:t>
                  </w:r>
                </w:p>
              </w:tc>
              <w:tc>
                <w:tcPr>
                  <w:tcW w:w="554" w:type="pct"/>
                  <w:tcBorders>
                    <w:tl2br w:val="nil"/>
                    <w:tr2bl w:val="nil"/>
                  </w:tcBorders>
                  <w:vAlign w:val="center"/>
                </w:tcPr>
                <w:p w14:paraId="699F877E">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rPr>
                    <w:t>噪声源强dB(A)</w:t>
                  </w:r>
                </w:p>
              </w:tc>
              <w:tc>
                <w:tcPr>
                  <w:tcW w:w="1040" w:type="pct"/>
                  <w:tcBorders>
                    <w:tl2br w:val="nil"/>
                    <w:tr2bl w:val="nil"/>
                  </w:tcBorders>
                  <w:vAlign w:val="center"/>
                </w:tcPr>
                <w:p w14:paraId="3E9C0795">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lang w:eastAsia="zh-CN"/>
                    </w:rPr>
                    <w:t>声源控制</w:t>
                  </w:r>
                  <w:r>
                    <w:rPr>
                      <w:rFonts w:hint="default" w:ascii="Times New Roman" w:hAnsi="Times New Roman" w:eastAsia="宋体" w:cs="Times New Roman"/>
                      <w:b w:val="0"/>
                      <w:bCs/>
                      <w:color w:val="auto"/>
                      <w:sz w:val="21"/>
                      <w:szCs w:val="21"/>
                      <w:highlight w:val="none"/>
                    </w:rPr>
                    <w:t>措施</w:t>
                  </w:r>
                </w:p>
              </w:tc>
              <w:tc>
                <w:tcPr>
                  <w:tcW w:w="536" w:type="pct"/>
                  <w:tcBorders>
                    <w:tl2br w:val="nil"/>
                    <w:tr2bl w:val="nil"/>
                  </w:tcBorders>
                  <w:vAlign w:val="center"/>
                </w:tcPr>
                <w:p w14:paraId="76F7F7A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kern w:val="0"/>
                      <w:sz w:val="21"/>
                      <w:szCs w:val="21"/>
                      <w:highlight w:val="none"/>
                      <w:lang w:val="en-US" w:eastAsia="zh-CN" w:bidi="ar"/>
                    </w:rPr>
                    <w:t>降噪效果</w:t>
                  </w:r>
                  <w:r>
                    <w:rPr>
                      <w:rFonts w:hint="default" w:ascii="Times New Roman" w:hAnsi="Times New Roman" w:eastAsia="宋体" w:cs="Times New Roman"/>
                      <w:b w:val="0"/>
                      <w:bCs/>
                      <w:color w:val="auto"/>
                      <w:sz w:val="21"/>
                      <w:szCs w:val="21"/>
                      <w:highlight w:val="none"/>
                    </w:rPr>
                    <w:t>dB(A)</w:t>
                  </w:r>
                </w:p>
              </w:tc>
            </w:tr>
            <w:tr w14:paraId="489A4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restart"/>
                  <w:tcBorders>
                    <w:tl2br w:val="nil"/>
                    <w:tr2bl w:val="nil"/>
                  </w:tcBorders>
                  <w:vAlign w:val="center"/>
                </w:tcPr>
                <w:p w14:paraId="2F818DEC">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eastAsia="宋体" w:cs="Times New Roman"/>
                      <w:b w:val="0"/>
                      <w:bCs/>
                      <w:color w:val="auto"/>
                      <w:sz w:val="21"/>
                      <w:szCs w:val="21"/>
                      <w:highlight w:val="none"/>
                      <w:vertAlign w:val="baseline"/>
                      <w:lang w:val="en-US" w:eastAsia="zh-CN"/>
                    </w:rPr>
                    <w:t>一氧化二氮充装车间</w:t>
                  </w:r>
                </w:p>
              </w:tc>
              <w:tc>
                <w:tcPr>
                  <w:tcW w:w="834" w:type="pct"/>
                  <w:tcBorders>
                    <w:tl2br w:val="nil"/>
                    <w:tr2bl w:val="nil"/>
                  </w:tcBorders>
                  <w:vAlign w:val="center"/>
                </w:tcPr>
                <w:p w14:paraId="3F2BFD9E">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低温液体泵</w:t>
                  </w:r>
                </w:p>
              </w:tc>
              <w:tc>
                <w:tcPr>
                  <w:tcW w:w="1259" w:type="pct"/>
                  <w:tcBorders>
                    <w:tl2br w:val="nil"/>
                    <w:tr2bl w:val="nil"/>
                  </w:tcBorders>
                  <w:vAlign w:val="center"/>
                </w:tcPr>
                <w:p w14:paraId="5FB09E13">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01" w:type="pct"/>
                  <w:tcBorders>
                    <w:tl2br w:val="nil"/>
                    <w:tr2bl w:val="nil"/>
                  </w:tcBorders>
                  <w:vAlign w:val="center"/>
                </w:tcPr>
                <w:p w14:paraId="49520FE3">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554" w:type="pct"/>
                  <w:tcBorders>
                    <w:tl2br w:val="nil"/>
                    <w:tr2bl w:val="nil"/>
                  </w:tcBorders>
                  <w:vAlign w:val="center"/>
                </w:tcPr>
                <w:p w14:paraId="7DA42A75">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90</w:t>
                  </w:r>
                </w:p>
              </w:tc>
              <w:tc>
                <w:tcPr>
                  <w:tcW w:w="1040" w:type="pct"/>
                  <w:vMerge w:val="restart"/>
                  <w:tcBorders>
                    <w:tl2br w:val="nil"/>
                    <w:tr2bl w:val="nil"/>
                  </w:tcBorders>
                  <w:vAlign w:val="center"/>
                </w:tcPr>
                <w:p w14:paraId="48D5AA3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减</w:t>
                  </w:r>
                  <w:r>
                    <w:rPr>
                      <w:rFonts w:hint="eastAsia" w:cs="Times New Roman"/>
                      <w:b w:val="0"/>
                      <w:bCs/>
                      <w:color w:val="auto"/>
                      <w:sz w:val="21"/>
                      <w:szCs w:val="21"/>
                      <w:highlight w:val="none"/>
                      <w:vertAlign w:val="baseline"/>
                      <w:lang w:val="en-US" w:eastAsia="zh-CN"/>
                    </w:rPr>
                    <w:t>振</w:t>
                  </w:r>
                  <w:r>
                    <w:rPr>
                      <w:rFonts w:hint="default" w:ascii="Times New Roman" w:hAnsi="Times New Roman" w:cs="Times New Roman"/>
                      <w:b w:val="0"/>
                      <w:bCs/>
                      <w:color w:val="auto"/>
                      <w:sz w:val="21"/>
                      <w:szCs w:val="21"/>
                      <w:highlight w:val="none"/>
                      <w:vertAlign w:val="baseline"/>
                      <w:lang w:val="en-US" w:eastAsia="zh-CN"/>
                    </w:rPr>
                    <w:t>、隔声</w:t>
                  </w:r>
                  <w:r>
                    <w:rPr>
                      <w:rFonts w:hint="eastAsia" w:cs="Times New Roman"/>
                      <w:b w:val="0"/>
                      <w:bCs/>
                      <w:color w:val="auto"/>
                      <w:sz w:val="21"/>
                      <w:szCs w:val="21"/>
                      <w:highlight w:val="none"/>
                      <w:vertAlign w:val="baseline"/>
                      <w:lang w:val="en-US" w:eastAsia="zh-CN"/>
                    </w:rPr>
                    <w:t>、安装消声器</w:t>
                  </w:r>
                </w:p>
              </w:tc>
              <w:tc>
                <w:tcPr>
                  <w:tcW w:w="536" w:type="pct"/>
                  <w:tcBorders>
                    <w:tl2br w:val="nil"/>
                    <w:tr2bl w:val="nil"/>
                  </w:tcBorders>
                  <w:vAlign w:val="center"/>
                </w:tcPr>
                <w:p w14:paraId="683FC08A">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eastAsia" w:cs="Times New Roman"/>
                      <w:b w:val="0"/>
                      <w:bCs/>
                      <w:color w:val="auto"/>
                      <w:kern w:val="0"/>
                      <w:sz w:val="21"/>
                      <w:szCs w:val="21"/>
                      <w:highlight w:val="none"/>
                      <w:lang w:val="en-US" w:eastAsia="zh-CN" w:bidi="ar"/>
                    </w:rPr>
                    <w:t>15</w:t>
                  </w:r>
                </w:p>
              </w:tc>
            </w:tr>
            <w:tr w14:paraId="537B9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4685C2B1">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lang w:eastAsia="zh-CN"/>
                    </w:rPr>
                  </w:pPr>
                </w:p>
              </w:tc>
              <w:tc>
                <w:tcPr>
                  <w:tcW w:w="834" w:type="pct"/>
                  <w:tcBorders>
                    <w:tl2br w:val="nil"/>
                    <w:tr2bl w:val="nil"/>
                  </w:tcBorders>
                  <w:vAlign w:val="center"/>
                </w:tcPr>
                <w:p w14:paraId="084033AE">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1259" w:type="pct"/>
                  <w:tcBorders>
                    <w:tl2br w:val="nil"/>
                    <w:tr2bl w:val="nil"/>
                  </w:tcBorders>
                  <w:vAlign w:val="center"/>
                </w:tcPr>
                <w:p w14:paraId="4E041AB2">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color w:val="auto"/>
                      <w:highlight w:val="none"/>
                      <w:lang w:val="en-US" w:eastAsia="zh-CN"/>
                    </w:rPr>
                  </w:pPr>
                  <w:r>
                    <w:rPr>
                      <w:rFonts w:hint="default" w:ascii="Times New Roman" w:hAnsi="Times New Roman" w:eastAsia="宋体" w:cs="Times New Roman"/>
                      <w:b w:val="0"/>
                      <w:bCs/>
                      <w:color w:val="000000"/>
                      <w:spacing w:val="0"/>
                      <w:position w:val="0"/>
                      <w:sz w:val="21"/>
                      <w:szCs w:val="21"/>
                    </w:rPr>
                    <w:t>DLS-AuTo28-M2</w:t>
                  </w:r>
                </w:p>
              </w:tc>
              <w:tc>
                <w:tcPr>
                  <w:tcW w:w="301" w:type="pct"/>
                  <w:tcBorders>
                    <w:tl2br w:val="nil"/>
                    <w:tr2bl w:val="nil"/>
                  </w:tcBorders>
                  <w:vAlign w:val="center"/>
                </w:tcPr>
                <w:p w14:paraId="177A1A23">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p>
              </w:tc>
              <w:tc>
                <w:tcPr>
                  <w:tcW w:w="554" w:type="pct"/>
                  <w:tcBorders>
                    <w:tl2br w:val="nil"/>
                    <w:tr2bl w:val="nil"/>
                  </w:tcBorders>
                  <w:vAlign w:val="center"/>
                </w:tcPr>
                <w:p w14:paraId="774742B3">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3822D83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13E2A635">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3CA4B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29F9F75F">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lang w:eastAsia="zh-CN"/>
                    </w:rPr>
                  </w:pPr>
                </w:p>
              </w:tc>
              <w:tc>
                <w:tcPr>
                  <w:tcW w:w="834" w:type="pct"/>
                  <w:tcBorders>
                    <w:tl2br w:val="nil"/>
                    <w:tr2bl w:val="nil"/>
                  </w:tcBorders>
                  <w:vAlign w:val="center"/>
                </w:tcPr>
                <w:p w14:paraId="1D2D6C5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气密性试验装置</w:t>
                  </w:r>
                </w:p>
              </w:tc>
              <w:tc>
                <w:tcPr>
                  <w:tcW w:w="1259" w:type="pct"/>
                  <w:tcBorders>
                    <w:tl2br w:val="nil"/>
                    <w:tr2bl w:val="nil"/>
                  </w:tcBorders>
                  <w:vAlign w:val="center"/>
                </w:tcPr>
                <w:p w14:paraId="3BFAD75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position w:val="0"/>
                      <w:sz w:val="21"/>
                      <w:szCs w:val="21"/>
                    </w:rPr>
                  </w:pPr>
                  <w:r>
                    <w:rPr>
                      <w:rFonts w:hint="eastAsia" w:ascii="Times New Roman" w:hAnsi="Times New Roman" w:cs="Times New Roman"/>
                      <w:color w:val="auto"/>
                      <w:kern w:val="2"/>
                      <w:sz w:val="21"/>
                      <w:szCs w:val="21"/>
                      <w:highlight w:val="none"/>
                      <w:lang w:val="en-US" w:eastAsia="zh-CN"/>
                    </w:rPr>
                    <w:t>NDIR</w:t>
                  </w:r>
                </w:p>
              </w:tc>
              <w:tc>
                <w:tcPr>
                  <w:tcW w:w="301" w:type="pct"/>
                  <w:tcBorders>
                    <w:tl2br w:val="nil"/>
                    <w:tr2bl w:val="nil"/>
                  </w:tcBorders>
                  <w:vAlign w:val="center"/>
                </w:tcPr>
                <w:p w14:paraId="3338B3A6">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554" w:type="pct"/>
                  <w:tcBorders>
                    <w:tl2br w:val="nil"/>
                    <w:tr2bl w:val="nil"/>
                  </w:tcBorders>
                  <w:vAlign w:val="center"/>
                </w:tcPr>
                <w:p w14:paraId="358C759A">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14AA4CF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7673C7AD">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332791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restart"/>
                  <w:tcBorders>
                    <w:tl2br w:val="nil"/>
                    <w:tr2bl w:val="nil"/>
                  </w:tcBorders>
                  <w:vAlign w:val="center"/>
                </w:tcPr>
                <w:p w14:paraId="08F6CA7F">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氮、二氧化碳充装车间</w:t>
                  </w:r>
                </w:p>
              </w:tc>
              <w:tc>
                <w:tcPr>
                  <w:tcW w:w="834" w:type="pct"/>
                  <w:tcBorders>
                    <w:tl2br w:val="nil"/>
                    <w:tr2bl w:val="nil"/>
                  </w:tcBorders>
                  <w:vAlign w:val="center"/>
                </w:tcPr>
                <w:p w14:paraId="77F29AF5">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低温液体泵</w:t>
                  </w:r>
                </w:p>
              </w:tc>
              <w:tc>
                <w:tcPr>
                  <w:tcW w:w="1259" w:type="pct"/>
                  <w:tcBorders>
                    <w:tl2br w:val="nil"/>
                    <w:tr2bl w:val="nil"/>
                  </w:tcBorders>
                  <w:vAlign w:val="center"/>
                </w:tcPr>
                <w:p w14:paraId="7EFF60E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01" w:type="pct"/>
                  <w:tcBorders>
                    <w:tl2br w:val="nil"/>
                    <w:tr2bl w:val="nil"/>
                  </w:tcBorders>
                  <w:vAlign w:val="center"/>
                </w:tcPr>
                <w:p w14:paraId="098DBE8A">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p>
              </w:tc>
              <w:tc>
                <w:tcPr>
                  <w:tcW w:w="554" w:type="pct"/>
                  <w:tcBorders>
                    <w:tl2br w:val="nil"/>
                    <w:tr2bl w:val="nil"/>
                  </w:tcBorders>
                  <w:vAlign w:val="center"/>
                </w:tcPr>
                <w:p w14:paraId="58CD90F0">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90</w:t>
                  </w:r>
                </w:p>
              </w:tc>
              <w:tc>
                <w:tcPr>
                  <w:tcW w:w="1040" w:type="pct"/>
                  <w:vMerge w:val="continue"/>
                  <w:tcBorders>
                    <w:tl2br w:val="nil"/>
                    <w:tr2bl w:val="nil"/>
                  </w:tcBorders>
                  <w:vAlign w:val="center"/>
                </w:tcPr>
                <w:p w14:paraId="7B590D7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15A43370">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08CE5F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016DCEE2">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eastAsia="宋体" w:cs="Times New Roman"/>
                      <w:b w:val="0"/>
                      <w:bCs/>
                      <w:color w:val="auto"/>
                      <w:sz w:val="21"/>
                      <w:szCs w:val="21"/>
                      <w:highlight w:val="none"/>
                      <w:lang w:val="en-US" w:eastAsia="zh-CN"/>
                    </w:rPr>
                  </w:pPr>
                </w:p>
              </w:tc>
              <w:tc>
                <w:tcPr>
                  <w:tcW w:w="834" w:type="pct"/>
                  <w:tcBorders>
                    <w:tl2br w:val="nil"/>
                    <w:tr2bl w:val="nil"/>
                  </w:tcBorders>
                  <w:vAlign w:val="center"/>
                </w:tcPr>
                <w:p w14:paraId="6582747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default" w:ascii="Times New Roman" w:hAnsi="Times New Roman" w:eastAsia="宋体" w:cs="Times New Roman"/>
                      <w:b w:val="0"/>
                      <w:bCs/>
                      <w:color w:val="000000"/>
                      <w:spacing w:val="0"/>
                      <w:position w:val="0"/>
                      <w:sz w:val="21"/>
                      <w:szCs w:val="21"/>
                    </w:rPr>
                    <w:t>氮气汇流排</w:t>
                  </w:r>
                </w:p>
              </w:tc>
              <w:tc>
                <w:tcPr>
                  <w:tcW w:w="1259" w:type="pct"/>
                  <w:tcBorders>
                    <w:tl2br w:val="nil"/>
                    <w:tr2bl w:val="nil"/>
                  </w:tcBorders>
                  <w:vAlign w:val="center"/>
                </w:tcPr>
                <w:p w14:paraId="11AD6B12">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10个充装头</w:t>
                  </w:r>
                </w:p>
              </w:tc>
              <w:tc>
                <w:tcPr>
                  <w:tcW w:w="301" w:type="pct"/>
                  <w:tcBorders>
                    <w:tl2br w:val="nil"/>
                    <w:tr2bl w:val="nil"/>
                  </w:tcBorders>
                  <w:vAlign w:val="center"/>
                </w:tcPr>
                <w:p w14:paraId="11386FD5">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554" w:type="pct"/>
                  <w:tcBorders>
                    <w:tl2br w:val="nil"/>
                    <w:tr2bl w:val="nil"/>
                  </w:tcBorders>
                  <w:vAlign w:val="center"/>
                </w:tcPr>
                <w:p w14:paraId="1AE438FC">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31E39AB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43F9C28E">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40162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314E8E45">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eastAsia="宋体" w:cs="Times New Roman"/>
                      <w:b w:val="0"/>
                      <w:bCs/>
                      <w:color w:val="auto"/>
                      <w:sz w:val="21"/>
                      <w:szCs w:val="21"/>
                      <w:highlight w:val="none"/>
                      <w:lang w:val="en-US" w:eastAsia="zh-CN"/>
                    </w:rPr>
                  </w:pPr>
                </w:p>
              </w:tc>
              <w:tc>
                <w:tcPr>
                  <w:tcW w:w="834" w:type="pct"/>
                  <w:tcBorders>
                    <w:tl2br w:val="nil"/>
                    <w:tr2bl w:val="nil"/>
                  </w:tcBorders>
                  <w:vAlign w:val="center"/>
                </w:tcPr>
                <w:p w14:paraId="4D870CD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default" w:ascii="Times New Roman" w:hAnsi="Times New Roman" w:eastAsia="宋体" w:cs="Times New Roman"/>
                      <w:b w:val="0"/>
                      <w:bCs/>
                      <w:color w:val="000000"/>
                      <w:spacing w:val="0"/>
                      <w:position w:val="0"/>
                      <w:sz w:val="21"/>
                      <w:szCs w:val="21"/>
                    </w:rPr>
                    <w:t>液氮汽化器</w:t>
                  </w:r>
                </w:p>
              </w:tc>
              <w:tc>
                <w:tcPr>
                  <w:tcW w:w="1259" w:type="pct"/>
                  <w:tcBorders>
                    <w:tl2br w:val="nil"/>
                    <w:tr2bl w:val="nil"/>
                  </w:tcBorders>
                  <w:vAlign w:val="center"/>
                </w:tcPr>
                <w:p w14:paraId="5F31A0C7">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01" w:type="pct"/>
                  <w:tcBorders>
                    <w:tl2br w:val="nil"/>
                    <w:tr2bl w:val="nil"/>
                  </w:tcBorders>
                  <w:vAlign w:val="center"/>
                </w:tcPr>
                <w:p w14:paraId="4B185F5C">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554" w:type="pct"/>
                  <w:tcBorders>
                    <w:tl2br w:val="nil"/>
                    <w:tr2bl w:val="nil"/>
                  </w:tcBorders>
                  <w:vAlign w:val="center"/>
                </w:tcPr>
                <w:p w14:paraId="01E302ED">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21A421E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04BA2CE2">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628BF0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13969D38">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eastAsia="宋体" w:cs="Times New Roman"/>
                      <w:b w:val="0"/>
                      <w:bCs/>
                      <w:color w:val="auto"/>
                      <w:sz w:val="21"/>
                      <w:szCs w:val="21"/>
                      <w:highlight w:val="none"/>
                      <w:lang w:val="en-US" w:eastAsia="zh-CN"/>
                    </w:rPr>
                  </w:pPr>
                </w:p>
              </w:tc>
              <w:tc>
                <w:tcPr>
                  <w:tcW w:w="834" w:type="pct"/>
                  <w:tcBorders>
                    <w:tl2br w:val="nil"/>
                    <w:tr2bl w:val="nil"/>
                  </w:tcBorders>
                  <w:vAlign w:val="center"/>
                </w:tcPr>
                <w:p w14:paraId="1B013BE0">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二氧化碳汇流排</w:t>
                  </w:r>
                </w:p>
              </w:tc>
              <w:tc>
                <w:tcPr>
                  <w:tcW w:w="1259" w:type="pct"/>
                  <w:tcBorders>
                    <w:tl2br w:val="nil"/>
                    <w:tr2bl w:val="nil"/>
                  </w:tcBorders>
                  <w:vAlign w:val="center"/>
                </w:tcPr>
                <w:p w14:paraId="598CD7D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6个充装头</w:t>
                  </w:r>
                </w:p>
              </w:tc>
              <w:tc>
                <w:tcPr>
                  <w:tcW w:w="301" w:type="pct"/>
                  <w:tcBorders>
                    <w:tl2br w:val="nil"/>
                    <w:tr2bl w:val="nil"/>
                  </w:tcBorders>
                  <w:vAlign w:val="center"/>
                </w:tcPr>
                <w:p w14:paraId="2B1B8773">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p>
              </w:tc>
              <w:tc>
                <w:tcPr>
                  <w:tcW w:w="554" w:type="pct"/>
                  <w:tcBorders>
                    <w:tl2br w:val="nil"/>
                    <w:tr2bl w:val="nil"/>
                  </w:tcBorders>
                  <w:vAlign w:val="center"/>
                </w:tcPr>
                <w:p w14:paraId="23073252">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01E1AF9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23973C25">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r w14:paraId="48CE5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2" w:type="pct"/>
                  <w:vMerge w:val="continue"/>
                  <w:tcBorders>
                    <w:tl2br w:val="nil"/>
                    <w:tr2bl w:val="nil"/>
                  </w:tcBorders>
                  <w:vAlign w:val="center"/>
                </w:tcPr>
                <w:p w14:paraId="0DC8574A">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eastAsia="宋体" w:cs="Times New Roman"/>
                      <w:b w:val="0"/>
                      <w:bCs/>
                      <w:color w:val="auto"/>
                      <w:sz w:val="21"/>
                      <w:szCs w:val="21"/>
                      <w:highlight w:val="none"/>
                      <w:lang w:val="en-US" w:eastAsia="zh-CN"/>
                    </w:rPr>
                  </w:pPr>
                </w:p>
              </w:tc>
              <w:tc>
                <w:tcPr>
                  <w:tcW w:w="834" w:type="pct"/>
                  <w:tcBorders>
                    <w:tl2br w:val="nil"/>
                    <w:tr2bl w:val="nil"/>
                  </w:tcBorders>
                  <w:vAlign w:val="center"/>
                </w:tcPr>
                <w:p w14:paraId="61A47BE2">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气密性试验装置</w:t>
                  </w:r>
                </w:p>
              </w:tc>
              <w:tc>
                <w:tcPr>
                  <w:tcW w:w="1259" w:type="pct"/>
                  <w:tcBorders>
                    <w:tl2br w:val="nil"/>
                    <w:tr2bl w:val="nil"/>
                  </w:tcBorders>
                  <w:vAlign w:val="center"/>
                </w:tcPr>
                <w:p w14:paraId="4FB0178F">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NDIR</w:t>
                  </w:r>
                </w:p>
              </w:tc>
              <w:tc>
                <w:tcPr>
                  <w:tcW w:w="301" w:type="pct"/>
                  <w:tcBorders>
                    <w:tl2br w:val="nil"/>
                    <w:tr2bl w:val="nil"/>
                  </w:tcBorders>
                  <w:vAlign w:val="center"/>
                </w:tcPr>
                <w:p w14:paraId="1509E4C4">
                  <w:pPr>
                    <w:pStyle w:val="29"/>
                    <w:keepNext w:val="0"/>
                    <w:keepLines w:val="0"/>
                    <w:pageBreakBefore w:val="0"/>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p>
              </w:tc>
              <w:tc>
                <w:tcPr>
                  <w:tcW w:w="554" w:type="pct"/>
                  <w:tcBorders>
                    <w:tl2br w:val="nil"/>
                    <w:tr2bl w:val="nil"/>
                  </w:tcBorders>
                  <w:vAlign w:val="center"/>
                </w:tcPr>
                <w:p w14:paraId="4E4C8AD1">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1040" w:type="pct"/>
                  <w:vMerge w:val="continue"/>
                  <w:tcBorders>
                    <w:tl2br w:val="nil"/>
                    <w:tr2bl w:val="nil"/>
                  </w:tcBorders>
                  <w:vAlign w:val="center"/>
                </w:tcPr>
                <w:p w14:paraId="2C2BB0E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
                    </w:rPr>
                  </w:pPr>
                </w:p>
              </w:tc>
              <w:tc>
                <w:tcPr>
                  <w:tcW w:w="536" w:type="pct"/>
                  <w:tcBorders>
                    <w:tl2br w:val="nil"/>
                    <w:tr2bl w:val="nil"/>
                  </w:tcBorders>
                  <w:vAlign w:val="center"/>
                </w:tcPr>
                <w:p w14:paraId="3A638641">
                  <w:pPr>
                    <w:pStyle w:val="2"/>
                    <w:keepNext w:val="0"/>
                    <w:keepLines w:val="0"/>
                    <w:pageBreakBefore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b w:val="0"/>
                      <w:bCs/>
                      <w:color w:val="auto"/>
                      <w:kern w:val="0"/>
                      <w:sz w:val="21"/>
                      <w:szCs w:val="21"/>
                      <w:highlight w:val="none"/>
                      <w:lang w:val="en-US" w:eastAsia="zh-CN" w:bidi="ar"/>
                    </w:rPr>
                    <w:t>15</w:t>
                  </w:r>
                </w:p>
              </w:tc>
            </w:tr>
          </w:tbl>
          <w:p w14:paraId="57D12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auto"/>
                <w:sz w:val="24"/>
                <w:highlight w:val="none"/>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val="en-US" w:eastAsia="zh-CN"/>
              </w:rPr>
              <w:t>4-9</w:t>
            </w:r>
            <w:r>
              <w:rPr>
                <w:rFonts w:hint="default" w:ascii="Times New Roman" w:hAnsi="Times New Roman" w:eastAsia="黑体" w:cs="Times New Roman"/>
                <w:b w:val="0"/>
                <w:bCs/>
                <w:color w:val="auto"/>
                <w:sz w:val="21"/>
                <w:szCs w:val="21"/>
                <w:highlight w:val="none"/>
              </w:rPr>
              <w:t>项目各噪声</w:t>
            </w:r>
            <w:r>
              <w:rPr>
                <w:rFonts w:hint="default" w:ascii="Times New Roman" w:hAnsi="Times New Roman" w:eastAsia="黑体" w:cs="Times New Roman"/>
                <w:b w:val="0"/>
                <w:bCs/>
                <w:color w:val="auto"/>
                <w:sz w:val="21"/>
                <w:szCs w:val="21"/>
                <w:highlight w:val="none"/>
                <w:lang w:eastAsia="zh-CN"/>
              </w:rPr>
              <w:t>源强调查清单（续表</w:t>
            </w:r>
            <w:r>
              <w:rPr>
                <w:rFonts w:hint="eastAsia" w:eastAsia="黑体" w:cs="Times New Roman"/>
                <w:b w:val="0"/>
                <w:bCs/>
                <w:color w:val="auto"/>
                <w:sz w:val="21"/>
                <w:szCs w:val="21"/>
                <w:highlight w:val="none"/>
                <w:lang w:eastAsia="zh-CN"/>
              </w:rPr>
              <w:t>）</w:t>
            </w:r>
          </w:p>
          <w:tbl>
            <w:tblPr>
              <w:tblStyle w:val="24"/>
              <w:tblW w:w="499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Layout w:type="fixed"/>
              <w:tblCellMar>
                <w:top w:w="0" w:type="dxa"/>
                <w:left w:w="0" w:type="dxa"/>
                <w:bottom w:w="0" w:type="dxa"/>
                <w:right w:w="0" w:type="dxa"/>
              </w:tblCellMar>
            </w:tblPr>
            <w:tblGrid>
              <w:gridCol w:w="237"/>
              <w:gridCol w:w="550"/>
              <w:gridCol w:w="1052"/>
              <w:gridCol w:w="524"/>
              <w:gridCol w:w="484"/>
              <w:gridCol w:w="487"/>
              <w:gridCol w:w="606"/>
              <w:gridCol w:w="713"/>
              <w:gridCol w:w="592"/>
              <w:gridCol w:w="801"/>
              <w:gridCol w:w="1010"/>
              <w:gridCol w:w="624"/>
            </w:tblGrid>
            <w:tr w14:paraId="583D1790">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03" w:hRule="atLeast"/>
                <w:jc w:val="center"/>
              </w:trPr>
              <w:tc>
                <w:tcPr>
                  <w:tcW w:w="154" w:type="pct"/>
                  <w:vMerge w:val="restart"/>
                  <w:tcBorders>
                    <w:tl2br w:val="nil"/>
                    <w:tr2bl w:val="nil"/>
                  </w:tcBorders>
                  <w:noWrap w:val="0"/>
                  <w:vAlign w:val="center"/>
                </w:tcPr>
                <w:p w14:paraId="194E3010">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rPr>
                  </w:pPr>
                  <w:r>
                    <w:rPr>
                      <w:rFonts w:hint="default" w:ascii="Times New Roman" w:hAnsi="Times New Roman" w:eastAsia="宋体" w:cs="Times New Roman"/>
                      <w:b w:val="0"/>
                      <w:bCs/>
                      <w:caps/>
                      <w:color w:val="auto"/>
                      <w:sz w:val="21"/>
                      <w:szCs w:val="21"/>
                      <w:highlight w:val="none"/>
                    </w:rPr>
                    <w:t>序号</w:t>
                  </w:r>
                </w:p>
              </w:tc>
              <w:tc>
                <w:tcPr>
                  <w:tcW w:w="358" w:type="pct"/>
                  <w:vMerge w:val="restart"/>
                  <w:tcBorders>
                    <w:tl2br w:val="nil"/>
                    <w:tr2bl w:val="nil"/>
                  </w:tcBorders>
                  <w:noWrap w:val="0"/>
                  <w:vAlign w:val="center"/>
                </w:tcPr>
                <w:p w14:paraId="1A6636EC">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建筑物名称</w:t>
                  </w:r>
                </w:p>
              </w:tc>
              <w:tc>
                <w:tcPr>
                  <w:tcW w:w="684" w:type="pct"/>
                  <w:vMerge w:val="restart"/>
                  <w:tcBorders>
                    <w:tl2br w:val="nil"/>
                    <w:tr2bl w:val="nil"/>
                  </w:tcBorders>
                  <w:noWrap w:val="0"/>
                  <w:vAlign w:val="center"/>
                </w:tcPr>
                <w:p w14:paraId="47F320C8">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eastAsia="zh-CN"/>
                    </w:rPr>
                    <w:t>噪声源</w:t>
                  </w:r>
                </w:p>
              </w:tc>
              <w:tc>
                <w:tcPr>
                  <w:tcW w:w="973" w:type="pct"/>
                  <w:gridSpan w:val="3"/>
                  <w:vMerge w:val="restart"/>
                  <w:tcBorders>
                    <w:tl2br w:val="nil"/>
                    <w:tr2bl w:val="nil"/>
                  </w:tcBorders>
                  <w:noWrap w:val="0"/>
                  <w:vAlign w:val="center"/>
                </w:tcPr>
                <w:p w14:paraId="2ABBFFA6">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空间相对位置</w:t>
                  </w:r>
                  <w:r>
                    <w:rPr>
                      <w:rFonts w:hint="default" w:ascii="Times New Roman" w:hAnsi="Times New Roman" w:eastAsia="宋体" w:cs="Times New Roman"/>
                      <w:b w:val="0"/>
                      <w:bCs/>
                      <w:color w:val="auto"/>
                      <w:sz w:val="21"/>
                      <w:szCs w:val="21"/>
                      <w:highlight w:val="none"/>
                      <w:lang w:val="en-US" w:eastAsia="zh-CN"/>
                    </w:rPr>
                    <w:t>/m</w:t>
                  </w:r>
                </w:p>
              </w:tc>
              <w:tc>
                <w:tcPr>
                  <w:tcW w:w="394" w:type="pct"/>
                  <w:vMerge w:val="restart"/>
                  <w:tcBorders>
                    <w:tl2br w:val="nil"/>
                    <w:tr2bl w:val="nil"/>
                  </w:tcBorders>
                  <w:noWrap w:val="0"/>
                  <w:vAlign w:val="center"/>
                </w:tcPr>
                <w:p w14:paraId="75C695CE">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eastAsia="zh-CN"/>
                    </w:rPr>
                    <w:t>距室内边界距离</w:t>
                  </w:r>
                  <w:r>
                    <w:rPr>
                      <w:rFonts w:hint="default" w:ascii="Times New Roman" w:hAnsi="Times New Roman" w:eastAsia="宋体" w:cs="Times New Roman"/>
                      <w:b w:val="0"/>
                      <w:bCs/>
                      <w:color w:val="auto"/>
                      <w:sz w:val="21"/>
                      <w:szCs w:val="21"/>
                      <w:highlight w:val="none"/>
                      <w:lang w:val="en-US" w:eastAsia="zh-CN"/>
                    </w:rPr>
                    <w:t>m</w:t>
                  </w:r>
                </w:p>
              </w:tc>
              <w:tc>
                <w:tcPr>
                  <w:tcW w:w="464" w:type="pct"/>
                  <w:vMerge w:val="restart"/>
                  <w:tcBorders>
                    <w:tl2br w:val="nil"/>
                    <w:tr2bl w:val="nil"/>
                  </w:tcBorders>
                  <w:noWrap w:val="0"/>
                  <w:vAlign w:val="center"/>
                </w:tcPr>
                <w:p w14:paraId="0C17351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室内边界声级</w:t>
                  </w:r>
                  <w:r>
                    <w:rPr>
                      <w:rFonts w:hint="default" w:ascii="Times New Roman" w:hAnsi="Times New Roman" w:eastAsia="宋体" w:cs="Times New Roman"/>
                      <w:b w:val="0"/>
                      <w:bCs/>
                      <w:color w:val="auto"/>
                      <w:sz w:val="21"/>
                      <w:szCs w:val="21"/>
                      <w:highlight w:val="none"/>
                      <w:lang w:val="en-US" w:eastAsia="zh-CN"/>
                    </w:rPr>
                    <w:t>dB</w:t>
                  </w:r>
                  <w:r>
                    <w:rPr>
                      <w:rFonts w:hint="eastAsia" w:cs="Times New Roman"/>
                      <w:b w:val="0"/>
                      <w:bCs/>
                      <w:color w:val="auto"/>
                      <w:sz w:val="21"/>
                      <w:szCs w:val="21"/>
                      <w:highlight w:val="none"/>
                      <w:lang w:val="en-US" w:eastAsia="zh-CN"/>
                    </w:rPr>
                    <w:t>（A）</w:t>
                  </w:r>
                </w:p>
              </w:tc>
              <w:tc>
                <w:tcPr>
                  <w:tcW w:w="385" w:type="pct"/>
                  <w:vMerge w:val="restart"/>
                  <w:tcBorders>
                    <w:tl2br w:val="nil"/>
                    <w:tr2bl w:val="nil"/>
                  </w:tcBorders>
                  <w:noWrap w:val="0"/>
                  <w:vAlign w:val="center"/>
                </w:tcPr>
                <w:p w14:paraId="49D6C294">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eastAsia="zh-CN"/>
                    </w:rPr>
                    <w:t>运行时段</w:t>
                  </w:r>
                </w:p>
              </w:tc>
              <w:tc>
                <w:tcPr>
                  <w:tcW w:w="521" w:type="pct"/>
                  <w:vMerge w:val="restart"/>
                  <w:tcBorders>
                    <w:tl2br w:val="nil"/>
                    <w:tr2bl w:val="nil"/>
                  </w:tcBorders>
                  <w:noWrap w:val="0"/>
                  <w:vAlign w:val="center"/>
                </w:tcPr>
                <w:p w14:paraId="439699A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vertAlign w:val="baseline"/>
                      <w:lang w:eastAsia="zh-CN"/>
                    </w:rPr>
                    <w:t>建筑物插入损失</w:t>
                  </w:r>
                  <w:r>
                    <w:rPr>
                      <w:rFonts w:hint="default" w:ascii="Times New Roman" w:hAnsi="Times New Roman" w:eastAsia="宋体" w:cs="Times New Roman"/>
                      <w:b w:val="0"/>
                      <w:bCs/>
                      <w:color w:val="auto"/>
                      <w:sz w:val="21"/>
                      <w:szCs w:val="21"/>
                      <w:highlight w:val="none"/>
                      <w:vertAlign w:val="baseline"/>
                      <w:lang w:val="en-US" w:eastAsia="zh-CN"/>
                    </w:rPr>
                    <w:t>/dB</w:t>
                  </w:r>
                  <w:r>
                    <w:rPr>
                      <w:rFonts w:hint="eastAsia" w:cs="Times New Roman"/>
                      <w:b w:val="0"/>
                      <w:bCs/>
                      <w:color w:val="auto"/>
                      <w:sz w:val="21"/>
                      <w:szCs w:val="21"/>
                      <w:highlight w:val="none"/>
                      <w:lang w:val="en-US" w:eastAsia="zh-CN"/>
                    </w:rPr>
                    <w:t>（A）</w:t>
                  </w:r>
                </w:p>
              </w:tc>
              <w:tc>
                <w:tcPr>
                  <w:tcW w:w="1062" w:type="pct"/>
                  <w:gridSpan w:val="2"/>
                  <w:tcBorders>
                    <w:tl2br w:val="nil"/>
                    <w:tr2bl w:val="nil"/>
                  </w:tcBorders>
                  <w:noWrap w:val="0"/>
                  <w:vAlign w:val="center"/>
                </w:tcPr>
                <w:p w14:paraId="247FB52E">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val="en-US" w:eastAsia="zh-CN"/>
                    </w:rPr>
                    <w:t>建筑物外噪声</w:t>
                  </w:r>
                </w:p>
              </w:tc>
            </w:tr>
            <w:tr w14:paraId="66833D78">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12" w:hRule="atLeast"/>
                <w:jc w:val="center"/>
              </w:trPr>
              <w:tc>
                <w:tcPr>
                  <w:tcW w:w="154" w:type="pct"/>
                  <w:vMerge w:val="continue"/>
                  <w:tcBorders>
                    <w:tl2br w:val="nil"/>
                    <w:tr2bl w:val="nil"/>
                  </w:tcBorders>
                  <w:noWrap w:val="0"/>
                  <w:vAlign w:val="center"/>
                </w:tcPr>
                <w:p w14:paraId="5A1FD167">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rPr>
                  </w:pPr>
                </w:p>
              </w:tc>
              <w:tc>
                <w:tcPr>
                  <w:tcW w:w="358" w:type="pct"/>
                  <w:vMerge w:val="continue"/>
                  <w:tcBorders>
                    <w:tl2br w:val="nil"/>
                    <w:tr2bl w:val="nil"/>
                  </w:tcBorders>
                  <w:noWrap w:val="0"/>
                  <w:vAlign w:val="center"/>
                </w:tcPr>
                <w:p w14:paraId="37762347">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684" w:type="pct"/>
                  <w:vMerge w:val="continue"/>
                  <w:tcBorders>
                    <w:tl2br w:val="nil"/>
                    <w:tr2bl w:val="nil"/>
                  </w:tcBorders>
                  <w:noWrap w:val="0"/>
                  <w:vAlign w:val="center"/>
                </w:tcPr>
                <w:p w14:paraId="3C0B9771">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973" w:type="pct"/>
                  <w:gridSpan w:val="3"/>
                  <w:vMerge w:val="continue"/>
                  <w:tcBorders>
                    <w:tl2br w:val="nil"/>
                    <w:tr2bl w:val="nil"/>
                  </w:tcBorders>
                  <w:noWrap w:val="0"/>
                  <w:vAlign w:val="center"/>
                </w:tcPr>
                <w:p w14:paraId="001CDDB1">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394" w:type="pct"/>
                  <w:vMerge w:val="continue"/>
                  <w:tcBorders>
                    <w:tl2br w:val="nil"/>
                    <w:tr2bl w:val="nil"/>
                  </w:tcBorders>
                  <w:noWrap w:val="0"/>
                  <w:vAlign w:val="center"/>
                </w:tcPr>
                <w:p w14:paraId="2019DC6C">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464" w:type="pct"/>
                  <w:vMerge w:val="continue"/>
                  <w:tcBorders>
                    <w:tl2br w:val="nil"/>
                    <w:tr2bl w:val="nil"/>
                  </w:tcBorders>
                  <w:noWrap w:val="0"/>
                  <w:vAlign w:val="center"/>
                </w:tcPr>
                <w:p w14:paraId="27AA7BC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385" w:type="pct"/>
                  <w:vMerge w:val="continue"/>
                  <w:tcBorders>
                    <w:tl2br w:val="nil"/>
                    <w:tr2bl w:val="nil"/>
                  </w:tcBorders>
                  <w:noWrap w:val="0"/>
                  <w:vAlign w:val="center"/>
                </w:tcPr>
                <w:p w14:paraId="6341095C">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521" w:type="pct"/>
                  <w:vMerge w:val="continue"/>
                  <w:tcBorders>
                    <w:tl2br w:val="nil"/>
                    <w:tr2bl w:val="nil"/>
                  </w:tcBorders>
                  <w:noWrap w:val="0"/>
                  <w:vAlign w:val="center"/>
                </w:tcPr>
                <w:p w14:paraId="5926989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657" w:type="pct"/>
                  <w:vMerge w:val="restart"/>
                  <w:tcBorders>
                    <w:tl2br w:val="nil"/>
                    <w:tr2bl w:val="nil"/>
                  </w:tcBorders>
                  <w:noWrap w:val="0"/>
                  <w:vAlign w:val="center"/>
                </w:tcPr>
                <w:p w14:paraId="23CDE563">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建筑物外声级</w:t>
                  </w:r>
                  <w:r>
                    <w:rPr>
                      <w:rFonts w:hint="default" w:ascii="Times New Roman" w:hAnsi="Times New Roman" w:eastAsia="宋体" w:cs="Times New Roman"/>
                      <w:b w:val="0"/>
                      <w:bCs/>
                      <w:color w:val="auto"/>
                      <w:sz w:val="21"/>
                      <w:szCs w:val="21"/>
                      <w:highlight w:val="none"/>
                      <w:vertAlign w:val="baseline"/>
                      <w:lang w:val="en-US" w:eastAsia="zh-CN"/>
                    </w:rPr>
                    <w:t>dB</w:t>
                  </w:r>
                  <w:r>
                    <w:rPr>
                      <w:rFonts w:hint="eastAsia" w:cs="Times New Roman"/>
                      <w:b w:val="0"/>
                      <w:bCs/>
                      <w:color w:val="auto"/>
                      <w:sz w:val="21"/>
                      <w:szCs w:val="21"/>
                      <w:highlight w:val="none"/>
                      <w:lang w:val="en-US" w:eastAsia="zh-CN"/>
                    </w:rPr>
                    <w:t>（A）</w:t>
                  </w:r>
                </w:p>
              </w:tc>
              <w:tc>
                <w:tcPr>
                  <w:tcW w:w="404" w:type="pct"/>
                  <w:vMerge w:val="restart"/>
                  <w:tcBorders>
                    <w:tl2br w:val="nil"/>
                    <w:tr2bl w:val="nil"/>
                  </w:tcBorders>
                  <w:noWrap w:val="0"/>
                  <w:vAlign w:val="center"/>
                </w:tcPr>
                <w:p w14:paraId="0C55ACC8">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建筑物外距离</w:t>
                  </w:r>
                  <w:r>
                    <w:rPr>
                      <w:rFonts w:hint="default" w:ascii="Times New Roman" w:hAnsi="Times New Roman" w:eastAsia="宋体" w:cs="Times New Roman"/>
                      <w:b w:val="0"/>
                      <w:bCs/>
                      <w:color w:val="auto"/>
                      <w:sz w:val="21"/>
                      <w:szCs w:val="21"/>
                      <w:highlight w:val="none"/>
                      <w:lang w:val="en-US" w:eastAsia="zh-CN"/>
                    </w:rPr>
                    <w:t>m</w:t>
                  </w:r>
                </w:p>
              </w:tc>
            </w:tr>
            <w:tr w14:paraId="51C540A6">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vMerge w:val="continue"/>
                  <w:tcBorders>
                    <w:tl2br w:val="nil"/>
                    <w:tr2bl w:val="nil"/>
                  </w:tcBorders>
                  <w:noWrap w:val="0"/>
                  <w:vAlign w:val="center"/>
                </w:tcPr>
                <w:p w14:paraId="48DF11D8">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rPr>
                  </w:pPr>
                </w:p>
              </w:tc>
              <w:tc>
                <w:tcPr>
                  <w:tcW w:w="358" w:type="pct"/>
                  <w:vMerge w:val="continue"/>
                  <w:tcBorders>
                    <w:tl2br w:val="nil"/>
                    <w:tr2bl w:val="nil"/>
                  </w:tcBorders>
                  <w:noWrap w:val="0"/>
                  <w:vAlign w:val="center"/>
                </w:tcPr>
                <w:p w14:paraId="34D482CC">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684" w:type="pct"/>
                  <w:vMerge w:val="continue"/>
                  <w:tcBorders>
                    <w:tl2br w:val="nil"/>
                    <w:tr2bl w:val="nil"/>
                  </w:tcBorders>
                  <w:noWrap w:val="0"/>
                  <w:vAlign w:val="center"/>
                </w:tcPr>
                <w:p w14:paraId="26215EF1">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341" w:type="pct"/>
                  <w:tcBorders>
                    <w:tl2br w:val="nil"/>
                    <w:tr2bl w:val="nil"/>
                  </w:tcBorders>
                  <w:noWrap w:val="0"/>
                  <w:vAlign w:val="center"/>
                </w:tcPr>
                <w:p w14:paraId="39B296F5">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X</w:t>
                  </w:r>
                </w:p>
              </w:tc>
              <w:tc>
                <w:tcPr>
                  <w:tcW w:w="315" w:type="pct"/>
                  <w:tcBorders>
                    <w:tl2br w:val="nil"/>
                    <w:tr2bl w:val="nil"/>
                  </w:tcBorders>
                  <w:noWrap w:val="0"/>
                  <w:vAlign w:val="center"/>
                </w:tcPr>
                <w:p w14:paraId="3BEB00E0">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Y</w:t>
                  </w:r>
                </w:p>
              </w:tc>
              <w:tc>
                <w:tcPr>
                  <w:tcW w:w="315" w:type="pct"/>
                  <w:tcBorders>
                    <w:tl2br w:val="nil"/>
                    <w:tr2bl w:val="nil"/>
                  </w:tcBorders>
                  <w:noWrap w:val="0"/>
                  <w:vAlign w:val="center"/>
                </w:tcPr>
                <w:p w14:paraId="2647A58E">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Z</w:t>
                  </w:r>
                </w:p>
              </w:tc>
              <w:tc>
                <w:tcPr>
                  <w:tcW w:w="394" w:type="pct"/>
                  <w:vMerge w:val="continue"/>
                  <w:tcBorders>
                    <w:tl2br w:val="nil"/>
                    <w:tr2bl w:val="nil"/>
                  </w:tcBorders>
                  <w:noWrap w:val="0"/>
                  <w:vAlign w:val="center"/>
                </w:tcPr>
                <w:p w14:paraId="289E3002">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464" w:type="pct"/>
                  <w:vMerge w:val="continue"/>
                  <w:tcBorders>
                    <w:tl2br w:val="nil"/>
                    <w:tr2bl w:val="nil"/>
                  </w:tcBorders>
                  <w:noWrap w:val="0"/>
                  <w:vAlign w:val="center"/>
                </w:tcPr>
                <w:p w14:paraId="18533827">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385" w:type="pct"/>
                  <w:vMerge w:val="continue"/>
                  <w:tcBorders>
                    <w:tl2br w:val="nil"/>
                    <w:tr2bl w:val="nil"/>
                  </w:tcBorders>
                  <w:noWrap w:val="0"/>
                  <w:vAlign w:val="center"/>
                </w:tcPr>
                <w:p w14:paraId="584657EC">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521" w:type="pct"/>
                  <w:vMerge w:val="continue"/>
                  <w:tcBorders>
                    <w:tl2br w:val="nil"/>
                    <w:tr2bl w:val="nil"/>
                  </w:tcBorders>
                  <w:noWrap w:val="0"/>
                  <w:vAlign w:val="center"/>
                </w:tcPr>
                <w:p w14:paraId="605B8641">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657" w:type="pct"/>
                  <w:vMerge w:val="continue"/>
                  <w:tcBorders>
                    <w:tl2br w:val="nil"/>
                    <w:tr2bl w:val="nil"/>
                  </w:tcBorders>
                  <w:noWrap w:val="0"/>
                  <w:vAlign w:val="center"/>
                </w:tcPr>
                <w:p w14:paraId="56C977EF">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c>
                <w:tcPr>
                  <w:tcW w:w="404" w:type="pct"/>
                  <w:vMerge w:val="continue"/>
                  <w:tcBorders>
                    <w:tl2br w:val="nil"/>
                    <w:tr2bl w:val="nil"/>
                  </w:tcBorders>
                  <w:noWrap w:val="0"/>
                  <w:vAlign w:val="center"/>
                </w:tcPr>
                <w:p w14:paraId="389996B5">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eastAsia="zh-CN"/>
                    </w:rPr>
                  </w:pPr>
                </w:p>
              </w:tc>
            </w:tr>
            <w:tr w14:paraId="4489E441">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6226B53D">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rPr>
                  </w:pPr>
                  <w:r>
                    <w:rPr>
                      <w:rFonts w:hint="default" w:ascii="Times New Roman" w:hAnsi="Times New Roman" w:eastAsia="宋体" w:cs="Times New Roman"/>
                      <w:b w:val="0"/>
                      <w:bCs/>
                      <w:color w:val="auto"/>
                      <w:sz w:val="21"/>
                      <w:szCs w:val="21"/>
                      <w:highlight w:val="none"/>
                    </w:rPr>
                    <w:t>1</w:t>
                  </w:r>
                </w:p>
              </w:tc>
              <w:tc>
                <w:tcPr>
                  <w:tcW w:w="358" w:type="pct"/>
                  <w:vMerge w:val="restart"/>
                  <w:tcBorders>
                    <w:tl2br w:val="nil"/>
                    <w:tr2bl w:val="nil"/>
                  </w:tcBorders>
                  <w:noWrap w:val="0"/>
                  <w:vAlign w:val="center"/>
                </w:tcPr>
                <w:p w14:paraId="2645F2CF">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vertAlign w:val="baseline"/>
                      <w:lang w:val="en-US" w:eastAsia="zh-CN"/>
                    </w:rPr>
                    <w:t>一氧化二氮充装车间</w:t>
                  </w:r>
                </w:p>
              </w:tc>
              <w:tc>
                <w:tcPr>
                  <w:tcW w:w="684" w:type="pct"/>
                  <w:tcBorders>
                    <w:tl2br w:val="nil"/>
                    <w:tr2bl w:val="nil"/>
                  </w:tcBorders>
                  <w:shd w:val="clear" w:color="auto" w:fill="auto"/>
                  <w:noWrap w:val="0"/>
                  <w:vAlign w:val="center"/>
                </w:tcPr>
                <w:p w14:paraId="184917C6">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eastAsia" w:ascii="Times New Roman" w:hAnsi="Times New Roman" w:eastAsia="宋体" w:cs="Times New Roman"/>
                      <w:b w:val="0"/>
                      <w:bCs/>
                      <w:color w:val="auto"/>
                      <w:sz w:val="21"/>
                      <w:szCs w:val="21"/>
                      <w:highlight w:val="none"/>
                      <w:vertAlign w:val="baseline"/>
                      <w:lang w:val="en-US" w:eastAsia="zh-CN"/>
                    </w:rPr>
                    <w:t>低温液体泵</w:t>
                  </w:r>
                </w:p>
              </w:tc>
              <w:tc>
                <w:tcPr>
                  <w:tcW w:w="524" w:type="dxa"/>
                  <w:tcBorders>
                    <w:tl2br w:val="nil"/>
                    <w:tr2bl w:val="nil"/>
                  </w:tcBorders>
                  <w:noWrap w:val="0"/>
                  <w:vAlign w:val="center"/>
                </w:tcPr>
                <w:p w14:paraId="6977103E">
                  <w:pPr>
                    <w:keepNext w:val="0"/>
                    <w:keepLines w:val="0"/>
                    <w:pageBreakBefore w:val="0"/>
                    <w:widowControl/>
                    <w:kinsoku/>
                    <w:wordWrap/>
                    <w:overflowPunct/>
                    <w:topLinePunct w:val="0"/>
                    <w:autoSpaceDE/>
                    <w:autoSpaceDN/>
                    <w:bidi w:val="0"/>
                    <w:adjustRightInd w:val="0"/>
                    <w:snapToGrid w:val="0"/>
                    <w:ind w:right="0" w:rightChars="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-8</w:t>
                  </w:r>
                </w:p>
              </w:tc>
              <w:tc>
                <w:tcPr>
                  <w:tcW w:w="315" w:type="pct"/>
                  <w:tcBorders>
                    <w:tl2br w:val="nil"/>
                    <w:tr2bl w:val="nil"/>
                  </w:tcBorders>
                  <w:noWrap w:val="0"/>
                  <w:vAlign w:val="center"/>
                </w:tcPr>
                <w:p w14:paraId="007DA7F0">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15" w:type="pct"/>
                  <w:tcBorders>
                    <w:tl2br w:val="nil"/>
                    <w:tr2bl w:val="nil"/>
                  </w:tcBorders>
                  <w:noWrap w:val="0"/>
                  <w:vAlign w:val="center"/>
                </w:tcPr>
                <w:p w14:paraId="3F3F4122">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09E6193F">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221CB889">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76</w:t>
                  </w:r>
                </w:p>
              </w:tc>
              <w:tc>
                <w:tcPr>
                  <w:tcW w:w="385" w:type="pct"/>
                  <w:vMerge w:val="restart"/>
                  <w:tcBorders>
                    <w:tl2br w:val="nil"/>
                    <w:tr2bl w:val="nil"/>
                  </w:tcBorders>
                  <w:noWrap w:val="0"/>
                  <w:vAlign w:val="center"/>
                </w:tcPr>
                <w:p w14:paraId="70F51138">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8:00-</w:t>
                  </w:r>
                  <w:r>
                    <w:rPr>
                      <w:rFonts w:hint="eastAsia" w:cs="Times New Roman"/>
                      <w:b w:val="0"/>
                      <w:bCs/>
                      <w:color w:val="auto"/>
                      <w:sz w:val="21"/>
                      <w:szCs w:val="21"/>
                      <w:highlight w:val="none"/>
                      <w:lang w:val="en-US" w:eastAsia="zh-CN"/>
                    </w:rPr>
                    <w:t>17:00</w:t>
                  </w:r>
                </w:p>
              </w:tc>
              <w:tc>
                <w:tcPr>
                  <w:tcW w:w="521" w:type="pct"/>
                  <w:tcBorders>
                    <w:tl2br w:val="nil"/>
                    <w:tr2bl w:val="nil"/>
                  </w:tcBorders>
                  <w:noWrap w:val="0"/>
                  <w:vAlign w:val="center"/>
                </w:tcPr>
                <w:p w14:paraId="386B346D">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71C7F4E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55</w:t>
                  </w:r>
                </w:p>
              </w:tc>
              <w:tc>
                <w:tcPr>
                  <w:tcW w:w="404" w:type="pct"/>
                  <w:tcBorders>
                    <w:tl2br w:val="nil"/>
                    <w:tr2bl w:val="nil"/>
                  </w:tcBorders>
                  <w:noWrap w:val="0"/>
                  <w:vAlign w:val="center"/>
                </w:tcPr>
                <w:p w14:paraId="617A722E">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1</w:t>
                  </w:r>
                </w:p>
              </w:tc>
            </w:tr>
            <w:tr w14:paraId="52612F3F">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7E73F65A">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w:t>
                  </w:r>
                </w:p>
              </w:tc>
              <w:tc>
                <w:tcPr>
                  <w:tcW w:w="358" w:type="pct"/>
                  <w:vMerge w:val="continue"/>
                  <w:tcBorders>
                    <w:tl2br w:val="nil"/>
                    <w:tr2bl w:val="nil"/>
                  </w:tcBorders>
                  <w:noWrap w:val="0"/>
                  <w:vAlign w:val="center"/>
                </w:tcPr>
                <w:p w14:paraId="55EA4FE8">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66BC8203">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128ADCB7">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421F50D6">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12</w:t>
                  </w:r>
                </w:p>
              </w:tc>
              <w:tc>
                <w:tcPr>
                  <w:tcW w:w="487" w:type="dxa"/>
                  <w:tcBorders>
                    <w:tl2br w:val="nil"/>
                    <w:tr2bl w:val="nil"/>
                  </w:tcBorders>
                  <w:noWrap w:val="0"/>
                  <w:vAlign w:val="center"/>
                </w:tcPr>
                <w:p w14:paraId="655C41F3">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2A88B400">
                  <w:pPr>
                    <w:keepNext w:val="0"/>
                    <w:keepLines w:val="0"/>
                    <w:pageBreakBefore w:val="0"/>
                    <w:widowControl/>
                    <w:kinsoku/>
                    <w:wordWrap/>
                    <w:overflowPunct/>
                    <w:topLinePunct w:val="0"/>
                    <w:autoSpaceDE/>
                    <w:autoSpaceDN/>
                    <w:bidi w:val="0"/>
                    <w:adjustRightInd w:val="0"/>
                    <w:snapToGrid w:val="0"/>
                    <w:ind w:right="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2A574352">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60400FB1">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5483EC34">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7B89671E">
                  <w:pPr>
                    <w:keepNext w:val="0"/>
                    <w:keepLines w:val="0"/>
                    <w:pageBreakBefore w:val="0"/>
                    <w:kinsoku/>
                    <w:wordWrap/>
                    <w:overflowPunct/>
                    <w:topLinePunct w:val="0"/>
                    <w:autoSpaceDE/>
                    <w:autoSpaceDN/>
                    <w:bidi w:val="0"/>
                    <w:adjustRightInd w:val="0"/>
                    <w:snapToGrid w:val="0"/>
                    <w:ind w:right="0"/>
                    <w:jc w:val="center"/>
                    <w:rPr>
                      <w:rFonts w:hint="default"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56DC195A">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787492EC">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082C871D">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3</w:t>
                  </w:r>
                </w:p>
              </w:tc>
              <w:tc>
                <w:tcPr>
                  <w:tcW w:w="358" w:type="pct"/>
                  <w:vMerge w:val="continue"/>
                  <w:tcBorders>
                    <w:tl2br w:val="nil"/>
                    <w:tr2bl w:val="nil"/>
                  </w:tcBorders>
                  <w:noWrap w:val="0"/>
                  <w:vAlign w:val="center"/>
                </w:tcPr>
                <w:p w14:paraId="19D070ED">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3B42AB26">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23C78FC2">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5C147F2D">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12</w:t>
                  </w:r>
                </w:p>
              </w:tc>
              <w:tc>
                <w:tcPr>
                  <w:tcW w:w="487" w:type="dxa"/>
                  <w:tcBorders>
                    <w:tl2br w:val="nil"/>
                    <w:tr2bl w:val="nil"/>
                  </w:tcBorders>
                  <w:noWrap w:val="0"/>
                  <w:vAlign w:val="center"/>
                </w:tcPr>
                <w:p w14:paraId="60C6A4F3">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72D89DA8">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6B40B423">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6E897793">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68AF6326">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0922522F">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43BDCD7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0D346074">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2DE1F6E6">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4</w:t>
                  </w:r>
                </w:p>
              </w:tc>
              <w:tc>
                <w:tcPr>
                  <w:tcW w:w="358" w:type="pct"/>
                  <w:vMerge w:val="continue"/>
                  <w:tcBorders>
                    <w:tl2br w:val="nil"/>
                    <w:tr2bl w:val="nil"/>
                  </w:tcBorders>
                  <w:noWrap w:val="0"/>
                  <w:vAlign w:val="center"/>
                </w:tcPr>
                <w:p w14:paraId="62A0D488">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5C3966C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10C07CCD">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4EAC2C32">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12</w:t>
                  </w:r>
                </w:p>
              </w:tc>
              <w:tc>
                <w:tcPr>
                  <w:tcW w:w="487" w:type="dxa"/>
                  <w:tcBorders>
                    <w:tl2br w:val="nil"/>
                    <w:tr2bl w:val="nil"/>
                  </w:tcBorders>
                  <w:noWrap w:val="0"/>
                  <w:vAlign w:val="center"/>
                </w:tcPr>
                <w:p w14:paraId="570563A7">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7C9CD1CE">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48ED244A">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59A30A5C">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0634FF25">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0A0A31A9">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5820C6D3">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1E8B5F24">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2BF21D5C">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358" w:type="pct"/>
                  <w:vMerge w:val="continue"/>
                  <w:tcBorders>
                    <w:tl2br w:val="nil"/>
                    <w:tr2bl w:val="nil"/>
                  </w:tcBorders>
                  <w:noWrap w:val="0"/>
                  <w:vAlign w:val="center"/>
                </w:tcPr>
                <w:p w14:paraId="0B5EDD12">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10AD2B44">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46A4CCE5">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7DEA083C">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11</w:t>
                  </w:r>
                </w:p>
              </w:tc>
              <w:tc>
                <w:tcPr>
                  <w:tcW w:w="487" w:type="dxa"/>
                  <w:tcBorders>
                    <w:tl2br w:val="nil"/>
                    <w:tr2bl w:val="nil"/>
                  </w:tcBorders>
                  <w:noWrap w:val="0"/>
                  <w:vAlign w:val="center"/>
                </w:tcPr>
                <w:p w14:paraId="73A294C6">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2DF27405">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578F7325">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3992E69B">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355BC28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0D14F684">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1C49981A">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17A52E00">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5BD463B7">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w:t>
                  </w:r>
                </w:p>
              </w:tc>
              <w:tc>
                <w:tcPr>
                  <w:tcW w:w="358" w:type="pct"/>
                  <w:vMerge w:val="continue"/>
                  <w:tcBorders>
                    <w:tl2br w:val="nil"/>
                    <w:tr2bl w:val="nil"/>
                  </w:tcBorders>
                  <w:noWrap w:val="0"/>
                  <w:vAlign w:val="center"/>
                </w:tcPr>
                <w:p w14:paraId="0756AC0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2631A28A">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6AFB9015">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5AF175A1">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11</w:t>
                  </w:r>
                </w:p>
              </w:tc>
              <w:tc>
                <w:tcPr>
                  <w:tcW w:w="487" w:type="dxa"/>
                  <w:tcBorders>
                    <w:tl2br w:val="nil"/>
                    <w:tr2bl w:val="nil"/>
                  </w:tcBorders>
                  <w:noWrap w:val="0"/>
                  <w:vAlign w:val="center"/>
                </w:tcPr>
                <w:p w14:paraId="4E65F335">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3FD40636">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7046A703">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6DDA2162">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3D4E622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227D650A">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3A126E98">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6AF07F68">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74AB6949">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7</w:t>
                  </w:r>
                </w:p>
              </w:tc>
              <w:tc>
                <w:tcPr>
                  <w:tcW w:w="358" w:type="pct"/>
                  <w:vMerge w:val="continue"/>
                  <w:tcBorders>
                    <w:tl2br w:val="nil"/>
                    <w:tr2bl w:val="nil"/>
                  </w:tcBorders>
                  <w:noWrap w:val="0"/>
                  <w:vAlign w:val="center"/>
                </w:tcPr>
                <w:p w14:paraId="296A428B">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7C4E6B40">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充装系统</w:t>
                  </w:r>
                </w:p>
              </w:tc>
              <w:tc>
                <w:tcPr>
                  <w:tcW w:w="524" w:type="dxa"/>
                  <w:tcBorders>
                    <w:tl2br w:val="nil"/>
                    <w:tr2bl w:val="nil"/>
                  </w:tcBorders>
                  <w:noWrap w:val="0"/>
                  <w:vAlign w:val="center"/>
                </w:tcPr>
                <w:p w14:paraId="0F7CAB38">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484" w:type="dxa"/>
                  <w:tcBorders>
                    <w:tl2br w:val="nil"/>
                    <w:tr2bl w:val="nil"/>
                  </w:tcBorders>
                  <w:noWrap w:val="0"/>
                  <w:vAlign w:val="center"/>
                </w:tcPr>
                <w:p w14:paraId="047E7E21">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11</w:t>
                  </w:r>
                </w:p>
              </w:tc>
              <w:tc>
                <w:tcPr>
                  <w:tcW w:w="487" w:type="dxa"/>
                  <w:tcBorders>
                    <w:tl2br w:val="nil"/>
                    <w:tr2bl w:val="nil"/>
                  </w:tcBorders>
                  <w:noWrap w:val="0"/>
                  <w:vAlign w:val="center"/>
                </w:tcPr>
                <w:p w14:paraId="7F39A1F6">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6E82C95A">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6E2F38A5">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2FB37A87">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02B9F2A5">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743EDA5A">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08F84F5C">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38DD5693">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97" w:hRule="atLeast"/>
                <w:jc w:val="center"/>
              </w:trPr>
              <w:tc>
                <w:tcPr>
                  <w:tcW w:w="154" w:type="pct"/>
                  <w:tcBorders>
                    <w:tl2br w:val="nil"/>
                    <w:tr2bl w:val="nil"/>
                  </w:tcBorders>
                  <w:noWrap w:val="0"/>
                  <w:vAlign w:val="center"/>
                </w:tcPr>
                <w:p w14:paraId="789E8F8E">
                  <w:pPr>
                    <w:keepNext w:val="0"/>
                    <w:keepLines w:val="0"/>
                    <w:pageBreakBefore w:val="0"/>
                    <w:widowControl/>
                    <w:kinsoku/>
                    <w:wordWrap/>
                    <w:overflowPunct/>
                    <w:topLinePunct w:val="0"/>
                    <w:autoSpaceDE/>
                    <w:autoSpaceDN/>
                    <w:bidi w:val="0"/>
                    <w:adjustRightInd w:val="0"/>
                    <w:snapToGrid w:val="0"/>
                    <w:ind w:right="0"/>
                    <w:jc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8</w:t>
                  </w:r>
                </w:p>
              </w:tc>
              <w:tc>
                <w:tcPr>
                  <w:tcW w:w="358" w:type="pct"/>
                  <w:vMerge w:val="continue"/>
                  <w:tcBorders>
                    <w:tl2br w:val="nil"/>
                    <w:tr2bl w:val="nil"/>
                  </w:tcBorders>
                  <w:noWrap w:val="0"/>
                  <w:vAlign w:val="center"/>
                </w:tcPr>
                <w:p w14:paraId="2C592FB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3E14F26A">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lang w:val="en-US" w:eastAsia="zh-CN"/>
                    </w:rPr>
                    <w:t>气密性试验装置</w:t>
                  </w:r>
                </w:p>
              </w:tc>
              <w:tc>
                <w:tcPr>
                  <w:tcW w:w="524" w:type="dxa"/>
                  <w:tcBorders>
                    <w:tl2br w:val="nil"/>
                    <w:tr2bl w:val="nil"/>
                  </w:tcBorders>
                  <w:noWrap w:val="0"/>
                  <w:vAlign w:val="center"/>
                </w:tcPr>
                <w:p w14:paraId="3767EAEE">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315" w:type="pct"/>
                  <w:tcBorders>
                    <w:tl2br w:val="nil"/>
                    <w:tr2bl w:val="nil"/>
                  </w:tcBorders>
                  <w:noWrap w:val="0"/>
                  <w:vAlign w:val="center"/>
                </w:tcPr>
                <w:p w14:paraId="0EBBE6E9">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8</w:t>
                  </w:r>
                </w:p>
              </w:tc>
              <w:tc>
                <w:tcPr>
                  <w:tcW w:w="315" w:type="pct"/>
                  <w:tcBorders>
                    <w:tl2br w:val="nil"/>
                    <w:tr2bl w:val="nil"/>
                  </w:tcBorders>
                  <w:noWrap w:val="0"/>
                  <w:vAlign w:val="center"/>
                </w:tcPr>
                <w:p w14:paraId="7103F6A8">
                  <w:pPr>
                    <w:keepNext w:val="0"/>
                    <w:keepLines w:val="0"/>
                    <w:pageBreakBefore w:val="0"/>
                    <w:widowControl/>
                    <w:kinsoku/>
                    <w:wordWrap/>
                    <w:overflowPunct/>
                    <w:topLinePunct w:val="0"/>
                    <w:autoSpaceDE/>
                    <w:autoSpaceDN/>
                    <w:bidi w:val="0"/>
                    <w:adjustRightInd w:val="0"/>
                    <w:snapToGrid w:val="0"/>
                    <w:ind w:right="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40971407">
                  <w:pPr>
                    <w:keepNext w:val="0"/>
                    <w:keepLines w:val="0"/>
                    <w:pageBreakBefore w:val="0"/>
                    <w:widowControl/>
                    <w:kinsoku/>
                    <w:wordWrap/>
                    <w:overflowPunct/>
                    <w:topLinePunct w:val="0"/>
                    <w:autoSpaceDE/>
                    <w:autoSpaceDN/>
                    <w:bidi w:val="0"/>
                    <w:adjustRightInd w:val="0"/>
                    <w:snapToGrid w:val="0"/>
                    <w:ind w:right="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5F4568BD">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73A0EC55">
                  <w:pPr>
                    <w:keepNext w:val="0"/>
                    <w:keepLines w:val="0"/>
                    <w:pageBreakBefore w:val="0"/>
                    <w:kinsoku/>
                    <w:wordWrap/>
                    <w:overflowPunct/>
                    <w:topLinePunct w:val="0"/>
                    <w:autoSpaceDE/>
                    <w:autoSpaceDN/>
                    <w:bidi w:val="0"/>
                    <w:adjustRightInd w:val="0"/>
                    <w:snapToGrid w:val="0"/>
                    <w:ind w:right="0"/>
                    <w:jc w:val="center"/>
                    <w:rPr>
                      <w:rFonts w:hint="eastAsia" w:ascii="Times New Roman" w:hAnsi="Times New Roman" w:cs="Times New Roman"/>
                      <w:b w:val="0"/>
                      <w:bCs/>
                      <w:color w:val="auto"/>
                      <w:sz w:val="21"/>
                      <w:szCs w:val="21"/>
                      <w:highlight w:val="none"/>
                      <w:lang w:val="en-US" w:eastAsia="zh-CN"/>
                    </w:rPr>
                  </w:pPr>
                </w:p>
              </w:tc>
              <w:tc>
                <w:tcPr>
                  <w:tcW w:w="521" w:type="pct"/>
                  <w:tcBorders>
                    <w:tl2br w:val="nil"/>
                    <w:tr2bl w:val="nil"/>
                  </w:tcBorders>
                  <w:noWrap w:val="0"/>
                  <w:vAlign w:val="center"/>
                </w:tcPr>
                <w:p w14:paraId="625A6296">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2E2F3458">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55773E90">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5CE46AE8">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7A5527AB">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9</w:t>
                  </w:r>
                </w:p>
              </w:tc>
              <w:tc>
                <w:tcPr>
                  <w:tcW w:w="358" w:type="pct"/>
                  <w:vMerge w:val="restart"/>
                  <w:tcBorders>
                    <w:tl2br w:val="nil"/>
                    <w:tr2bl w:val="nil"/>
                  </w:tcBorders>
                  <w:noWrap w:val="0"/>
                  <w:vAlign w:val="center"/>
                </w:tcPr>
                <w:p w14:paraId="7F0BAF75">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氮、二氧化碳充装车间</w:t>
                  </w:r>
                </w:p>
              </w:tc>
              <w:tc>
                <w:tcPr>
                  <w:tcW w:w="684" w:type="pct"/>
                  <w:tcBorders>
                    <w:tl2br w:val="nil"/>
                    <w:tr2bl w:val="nil"/>
                  </w:tcBorders>
                  <w:shd w:val="clear" w:color="auto" w:fill="auto"/>
                  <w:noWrap w:val="0"/>
                  <w:vAlign w:val="center"/>
                </w:tcPr>
                <w:p w14:paraId="53A90546">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低温液体泵</w:t>
                  </w:r>
                </w:p>
              </w:tc>
              <w:tc>
                <w:tcPr>
                  <w:tcW w:w="341" w:type="pct"/>
                  <w:tcBorders>
                    <w:tl2br w:val="nil"/>
                    <w:tr2bl w:val="nil"/>
                  </w:tcBorders>
                  <w:noWrap w:val="0"/>
                  <w:vAlign w:val="center"/>
                </w:tcPr>
                <w:p w14:paraId="6FF98BA6">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57788185">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315" w:type="pct"/>
                  <w:tcBorders>
                    <w:tl2br w:val="nil"/>
                    <w:tr2bl w:val="nil"/>
                  </w:tcBorders>
                  <w:noWrap w:val="0"/>
                  <w:vAlign w:val="center"/>
                </w:tcPr>
                <w:p w14:paraId="165F935D">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3D94DCAA">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3C4302F9">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76</w:t>
                  </w:r>
                </w:p>
              </w:tc>
              <w:tc>
                <w:tcPr>
                  <w:tcW w:w="385" w:type="pct"/>
                  <w:vMerge w:val="continue"/>
                  <w:tcBorders>
                    <w:tl2br w:val="nil"/>
                    <w:tr2bl w:val="nil"/>
                  </w:tcBorders>
                  <w:noWrap w:val="0"/>
                  <w:vAlign w:val="center"/>
                </w:tcPr>
                <w:p w14:paraId="0F14AA33">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23250C1A">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144928E2">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55</w:t>
                  </w:r>
                </w:p>
              </w:tc>
              <w:tc>
                <w:tcPr>
                  <w:tcW w:w="404" w:type="pct"/>
                  <w:tcBorders>
                    <w:tl2br w:val="nil"/>
                    <w:tr2bl w:val="nil"/>
                  </w:tcBorders>
                  <w:noWrap w:val="0"/>
                  <w:vAlign w:val="center"/>
                </w:tcPr>
                <w:p w14:paraId="78613370">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26B7F698">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19A61207">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10</w:t>
                  </w:r>
                </w:p>
              </w:tc>
              <w:tc>
                <w:tcPr>
                  <w:tcW w:w="358" w:type="pct"/>
                  <w:vMerge w:val="continue"/>
                  <w:tcBorders>
                    <w:tl2br w:val="nil"/>
                    <w:tr2bl w:val="nil"/>
                  </w:tcBorders>
                  <w:noWrap w:val="0"/>
                  <w:vAlign w:val="center"/>
                </w:tcPr>
                <w:p w14:paraId="41EB9C79">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6B7C6188">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低温液体泵</w:t>
                  </w:r>
                </w:p>
              </w:tc>
              <w:tc>
                <w:tcPr>
                  <w:tcW w:w="341" w:type="pct"/>
                  <w:tcBorders>
                    <w:tl2br w:val="nil"/>
                    <w:tr2bl w:val="nil"/>
                  </w:tcBorders>
                  <w:noWrap w:val="0"/>
                  <w:vAlign w:val="center"/>
                </w:tcPr>
                <w:p w14:paraId="336D3EE9">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6075D1B5">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8</w:t>
                  </w:r>
                </w:p>
              </w:tc>
              <w:tc>
                <w:tcPr>
                  <w:tcW w:w="315" w:type="pct"/>
                  <w:tcBorders>
                    <w:tl2br w:val="nil"/>
                    <w:tr2bl w:val="nil"/>
                  </w:tcBorders>
                  <w:noWrap w:val="0"/>
                  <w:vAlign w:val="center"/>
                </w:tcPr>
                <w:p w14:paraId="4FDFF8A0">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48F315F6">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7E6BCF17">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76</w:t>
                  </w:r>
                </w:p>
              </w:tc>
              <w:tc>
                <w:tcPr>
                  <w:tcW w:w="385" w:type="pct"/>
                  <w:vMerge w:val="continue"/>
                  <w:tcBorders>
                    <w:tl2br w:val="nil"/>
                    <w:tr2bl w:val="nil"/>
                  </w:tcBorders>
                  <w:noWrap w:val="0"/>
                  <w:vAlign w:val="center"/>
                </w:tcPr>
                <w:p w14:paraId="5E2DB7BC">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162406E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1C6EFB4F">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16A8E93F">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10BA94DA">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4DB5C23B">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11</w:t>
                  </w:r>
                </w:p>
              </w:tc>
              <w:tc>
                <w:tcPr>
                  <w:tcW w:w="358" w:type="pct"/>
                  <w:vMerge w:val="continue"/>
                  <w:tcBorders>
                    <w:tl2br w:val="nil"/>
                    <w:tr2bl w:val="nil"/>
                  </w:tcBorders>
                  <w:noWrap w:val="0"/>
                  <w:vAlign w:val="center"/>
                </w:tcPr>
                <w:p w14:paraId="67017F0C">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622E444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氮气汇流排</w:t>
                  </w:r>
                </w:p>
              </w:tc>
              <w:tc>
                <w:tcPr>
                  <w:tcW w:w="341" w:type="pct"/>
                  <w:tcBorders>
                    <w:tl2br w:val="nil"/>
                    <w:tr2bl w:val="nil"/>
                  </w:tcBorders>
                  <w:noWrap w:val="0"/>
                  <w:vAlign w:val="center"/>
                </w:tcPr>
                <w:p w14:paraId="71AA17CB">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4DF0C2EC">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315" w:type="pct"/>
                  <w:tcBorders>
                    <w:tl2br w:val="nil"/>
                    <w:tr2bl w:val="nil"/>
                  </w:tcBorders>
                  <w:noWrap w:val="0"/>
                  <w:vAlign w:val="center"/>
                </w:tcPr>
                <w:p w14:paraId="5CF78766">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7B5B4088">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16A1DBCB">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3570BAAD">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610BC3A5">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36A7CA7B">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083508A5">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63BD5A15">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90" w:hRule="atLeast"/>
                <w:jc w:val="center"/>
              </w:trPr>
              <w:tc>
                <w:tcPr>
                  <w:tcW w:w="154" w:type="pct"/>
                  <w:tcBorders>
                    <w:tl2br w:val="nil"/>
                    <w:tr2bl w:val="nil"/>
                  </w:tcBorders>
                  <w:noWrap w:val="0"/>
                  <w:vAlign w:val="center"/>
                </w:tcPr>
                <w:p w14:paraId="28F1B78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12</w:t>
                  </w:r>
                </w:p>
              </w:tc>
              <w:tc>
                <w:tcPr>
                  <w:tcW w:w="358" w:type="pct"/>
                  <w:vMerge w:val="continue"/>
                  <w:tcBorders>
                    <w:tl2br w:val="nil"/>
                    <w:tr2bl w:val="nil"/>
                  </w:tcBorders>
                  <w:noWrap w:val="0"/>
                  <w:vAlign w:val="center"/>
                </w:tcPr>
                <w:p w14:paraId="3595B9F9">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77E031DE">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000000"/>
                      <w:spacing w:val="0"/>
                      <w:position w:val="0"/>
                      <w:sz w:val="21"/>
                      <w:szCs w:val="21"/>
                    </w:rPr>
                    <w:t>液氮汽化器</w:t>
                  </w:r>
                </w:p>
              </w:tc>
              <w:tc>
                <w:tcPr>
                  <w:tcW w:w="341" w:type="pct"/>
                  <w:tcBorders>
                    <w:tl2br w:val="nil"/>
                    <w:tr2bl w:val="nil"/>
                  </w:tcBorders>
                  <w:noWrap w:val="0"/>
                  <w:vAlign w:val="center"/>
                </w:tcPr>
                <w:p w14:paraId="6AE642D2">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1DF4EC8E">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315" w:type="pct"/>
                  <w:tcBorders>
                    <w:tl2br w:val="nil"/>
                    <w:tr2bl w:val="nil"/>
                  </w:tcBorders>
                  <w:noWrap w:val="0"/>
                  <w:vAlign w:val="center"/>
                </w:tcPr>
                <w:p w14:paraId="128532DB">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47E62252">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0185A92C">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254A6F14">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7C1CF48D">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22D5DCE5">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7AE3E43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057DF6A7">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97" w:hRule="atLeast"/>
                <w:jc w:val="center"/>
              </w:trPr>
              <w:tc>
                <w:tcPr>
                  <w:tcW w:w="154" w:type="pct"/>
                  <w:tcBorders>
                    <w:tl2br w:val="nil"/>
                    <w:tr2bl w:val="nil"/>
                  </w:tcBorders>
                  <w:noWrap w:val="0"/>
                  <w:vAlign w:val="center"/>
                </w:tcPr>
                <w:p w14:paraId="739B24C2">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13</w:t>
                  </w:r>
                </w:p>
              </w:tc>
              <w:tc>
                <w:tcPr>
                  <w:tcW w:w="358" w:type="pct"/>
                  <w:vMerge w:val="continue"/>
                  <w:tcBorders>
                    <w:tl2br w:val="nil"/>
                    <w:tr2bl w:val="nil"/>
                  </w:tcBorders>
                  <w:noWrap w:val="0"/>
                  <w:vAlign w:val="center"/>
                </w:tcPr>
                <w:p w14:paraId="6C333189">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5342891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position w:val="0"/>
                      <w:sz w:val="21"/>
                      <w:szCs w:val="21"/>
                    </w:rPr>
                  </w:pPr>
                  <w:r>
                    <w:rPr>
                      <w:rFonts w:hint="default" w:ascii="Times New Roman" w:hAnsi="Times New Roman" w:cs="Times New Roman"/>
                      <w:color w:val="auto"/>
                      <w:kern w:val="2"/>
                      <w:sz w:val="21"/>
                      <w:szCs w:val="21"/>
                      <w:highlight w:val="none"/>
                      <w:lang w:val="en-US" w:eastAsia="zh-CN"/>
                    </w:rPr>
                    <w:t>二氧化碳汇流排</w:t>
                  </w:r>
                </w:p>
              </w:tc>
              <w:tc>
                <w:tcPr>
                  <w:tcW w:w="341" w:type="pct"/>
                  <w:tcBorders>
                    <w:tl2br w:val="nil"/>
                    <w:tr2bl w:val="nil"/>
                  </w:tcBorders>
                  <w:noWrap w:val="0"/>
                  <w:vAlign w:val="center"/>
                </w:tcPr>
                <w:p w14:paraId="65B24FBB">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72476CE5">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15" w:type="pct"/>
                  <w:tcBorders>
                    <w:tl2br w:val="nil"/>
                    <w:tr2bl w:val="nil"/>
                  </w:tcBorders>
                  <w:noWrap w:val="0"/>
                  <w:vAlign w:val="center"/>
                </w:tcPr>
                <w:p w14:paraId="75CD7492">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024E52CB">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6ADD0854">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2ED7834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2ED512D7">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63D5ECDF">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2506F9F9">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7FBEB06A">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97" w:hRule="atLeast"/>
                <w:jc w:val="center"/>
              </w:trPr>
              <w:tc>
                <w:tcPr>
                  <w:tcW w:w="154" w:type="pct"/>
                  <w:tcBorders>
                    <w:tl2br w:val="nil"/>
                    <w:tr2bl w:val="nil"/>
                  </w:tcBorders>
                  <w:noWrap w:val="0"/>
                  <w:vAlign w:val="center"/>
                </w:tcPr>
                <w:p w14:paraId="4BA36789">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14</w:t>
                  </w:r>
                </w:p>
              </w:tc>
              <w:tc>
                <w:tcPr>
                  <w:tcW w:w="358" w:type="pct"/>
                  <w:vMerge w:val="continue"/>
                  <w:tcBorders>
                    <w:tl2br w:val="nil"/>
                    <w:tr2bl w:val="nil"/>
                  </w:tcBorders>
                  <w:noWrap w:val="0"/>
                  <w:vAlign w:val="center"/>
                </w:tcPr>
                <w:p w14:paraId="4099A340">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6FF1B67D">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position w:val="0"/>
                      <w:sz w:val="21"/>
                      <w:szCs w:val="21"/>
                    </w:rPr>
                  </w:pPr>
                  <w:r>
                    <w:rPr>
                      <w:rFonts w:hint="default" w:ascii="Times New Roman" w:hAnsi="Times New Roman" w:cs="Times New Roman"/>
                      <w:color w:val="auto"/>
                      <w:kern w:val="2"/>
                      <w:sz w:val="21"/>
                      <w:szCs w:val="21"/>
                      <w:highlight w:val="none"/>
                      <w:lang w:val="en-US" w:eastAsia="zh-CN"/>
                    </w:rPr>
                    <w:t>二氧化碳汇流排</w:t>
                  </w:r>
                </w:p>
              </w:tc>
              <w:tc>
                <w:tcPr>
                  <w:tcW w:w="341" w:type="pct"/>
                  <w:tcBorders>
                    <w:tl2br w:val="nil"/>
                    <w:tr2bl w:val="nil"/>
                  </w:tcBorders>
                  <w:noWrap w:val="0"/>
                  <w:vAlign w:val="center"/>
                </w:tcPr>
                <w:p w14:paraId="6CF2880B">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6BC89F5F">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15" w:type="pct"/>
                  <w:tcBorders>
                    <w:tl2br w:val="nil"/>
                    <w:tr2bl w:val="nil"/>
                  </w:tcBorders>
                  <w:noWrap w:val="0"/>
                  <w:vAlign w:val="center"/>
                </w:tcPr>
                <w:p w14:paraId="11DBBBBD">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7239E74D">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38DD8E0D">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797A2E0D">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5A574EBF">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3D0140FC">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785F29D3">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51810925">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97" w:hRule="atLeast"/>
                <w:jc w:val="center"/>
              </w:trPr>
              <w:tc>
                <w:tcPr>
                  <w:tcW w:w="154" w:type="pct"/>
                  <w:tcBorders>
                    <w:tl2br w:val="nil"/>
                    <w:tr2bl w:val="nil"/>
                  </w:tcBorders>
                  <w:noWrap w:val="0"/>
                  <w:vAlign w:val="center"/>
                </w:tcPr>
                <w:p w14:paraId="0F081E6E">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15</w:t>
                  </w:r>
                </w:p>
              </w:tc>
              <w:tc>
                <w:tcPr>
                  <w:tcW w:w="358" w:type="pct"/>
                  <w:vMerge w:val="continue"/>
                  <w:tcBorders>
                    <w:tl2br w:val="nil"/>
                    <w:tr2bl w:val="nil"/>
                  </w:tcBorders>
                  <w:noWrap w:val="0"/>
                  <w:vAlign w:val="center"/>
                </w:tcPr>
                <w:p w14:paraId="2234E7DA">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30A65CD9">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position w:val="0"/>
                      <w:sz w:val="21"/>
                      <w:szCs w:val="21"/>
                    </w:rPr>
                  </w:pPr>
                  <w:r>
                    <w:rPr>
                      <w:rFonts w:hint="default" w:ascii="Times New Roman" w:hAnsi="Times New Roman" w:cs="Times New Roman"/>
                      <w:color w:val="auto"/>
                      <w:kern w:val="2"/>
                      <w:sz w:val="21"/>
                      <w:szCs w:val="21"/>
                      <w:highlight w:val="none"/>
                      <w:lang w:val="en-US" w:eastAsia="zh-CN"/>
                    </w:rPr>
                    <w:t>二氧化碳汇流排</w:t>
                  </w:r>
                </w:p>
              </w:tc>
              <w:tc>
                <w:tcPr>
                  <w:tcW w:w="341" w:type="pct"/>
                  <w:tcBorders>
                    <w:tl2br w:val="nil"/>
                    <w:tr2bl w:val="nil"/>
                  </w:tcBorders>
                  <w:noWrap w:val="0"/>
                  <w:vAlign w:val="center"/>
                </w:tcPr>
                <w:p w14:paraId="297D31BE">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5FDFB752">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15" w:type="pct"/>
                  <w:tcBorders>
                    <w:tl2br w:val="nil"/>
                    <w:tr2bl w:val="nil"/>
                  </w:tcBorders>
                  <w:noWrap w:val="0"/>
                  <w:vAlign w:val="center"/>
                </w:tcPr>
                <w:p w14:paraId="3C674296">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354441F8">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223EC787">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03C68E02">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44DB68E9">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27137C29">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131F88C4">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r w14:paraId="6475E433">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97" w:hRule="atLeast"/>
                <w:jc w:val="center"/>
              </w:trPr>
              <w:tc>
                <w:tcPr>
                  <w:tcW w:w="154" w:type="pct"/>
                  <w:tcBorders>
                    <w:tl2br w:val="nil"/>
                    <w:tr2bl w:val="nil"/>
                  </w:tcBorders>
                  <w:noWrap w:val="0"/>
                  <w:vAlign w:val="center"/>
                </w:tcPr>
                <w:p w14:paraId="756818CA">
                  <w:pPr>
                    <w:keepNext w:val="0"/>
                    <w:keepLines w:val="0"/>
                    <w:pageBreakBefore w:val="0"/>
                    <w:widowControl/>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aps/>
                      <w:color w:val="auto"/>
                      <w:sz w:val="21"/>
                      <w:szCs w:val="21"/>
                      <w:highlight w:val="none"/>
                      <w:lang w:val="en-US" w:eastAsia="zh-CN"/>
                    </w:rPr>
                  </w:pPr>
                  <w:r>
                    <w:rPr>
                      <w:rFonts w:hint="eastAsia" w:cs="Times New Roman"/>
                      <w:b w:val="0"/>
                      <w:bCs/>
                      <w:caps/>
                      <w:color w:val="auto"/>
                      <w:sz w:val="21"/>
                      <w:szCs w:val="21"/>
                      <w:highlight w:val="none"/>
                      <w:lang w:val="en-US" w:eastAsia="zh-CN"/>
                    </w:rPr>
                    <w:t>16</w:t>
                  </w:r>
                </w:p>
              </w:tc>
              <w:tc>
                <w:tcPr>
                  <w:tcW w:w="358" w:type="pct"/>
                  <w:vMerge w:val="continue"/>
                  <w:tcBorders>
                    <w:tl2br w:val="nil"/>
                    <w:tr2bl w:val="nil"/>
                  </w:tcBorders>
                  <w:noWrap w:val="0"/>
                  <w:vAlign w:val="center"/>
                </w:tcPr>
                <w:p w14:paraId="18EB58B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684" w:type="pct"/>
                  <w:tcBorders>
                    <w:tl2br w:val="nil"/>
                    <w:tr2bl w:val="nil"/>
                  </w:tcBorders>
                  <w:shd w:val="clear" w:color="auto" w:fill="auto"/>
                  <w:noWrap w:val="0"/>
                  <w:vAlign w:val="center"/>
                </w:tcPr>
                <w:p w14:paraId="6E31E3A0">
                  <w:pPr>
                    <w:pStyle w:val="29"/>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color w:val="000000"/>
                      <w:spacing w:val="0"/>
                      <w:position w:val="0"/>
                      <w:sz w:val="21"/>
                      <w:szCs w:val="21"/>
                    </w:rPr>
                  </w:pPr>
                  <w:r>
                    <w:rPr>
                      <w:rFonts w:hint="default" w:ascii="Times New Roman" w:hAnsi="Times New Roman" w:cs="Times New Roman"/>
                      <w:color w:val="auto"/>
                      <w:kern w:val="2"/>
                      <w:sz w:val="21"/>
                      <w:szCs w:val="21"/>
                      <w:highlight w:val="none"/>
                      <w:lang w:val="en-US" w:eastAsia="zh-CN"/>
                    </w:rPr>
                    <w:t>气密性试验装置</w:t>
                  </w:r>
                </w:p>
              </w:tc>
              <w:tc>
                <w:tcPr>
                  <w:tcW w:w="341" w:type="pct"/>
                  <w:tcBorders>
                    <w:tl2br w:val="nil"/>
                    <w:tr2bl w:val="nil"/>
                  </w:tcBorders>
                  <w:noWrap w:val="0"/>
                  <w:vAlign w:val="center"/>
                </w:tcPr>
                <w:p w14:paraId="3491DDBC">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20</w:t>
                  </w:r>
                </w:p>
              </w:tc>
              <w:tc>
                <w:tcPr>
                  <w:tcW w:w="315" w:type="pct"/>
                  <w:tcBorders>
                    <w:tl2br w:val="nil"/>
                    <w:tr2bl w:val="nil"/>
                  </w:tcBorders>
                  <w:noWrap w:val="0"/>
                  <w:vAlign w:val="center"/>
                </w:tcPr>
                <w:p w14:paraId="653551A9">
                  <w:pPr>
                    <w:keepNext w:val="0"/>
                    <w:keepLines w:val="0"/>
                    <w:pageBreakBefore w:val="0"/>
                    <w:widowControl/>
                    <w:kinsoku/>
                    <w:wordWrap/>
                    <w:overflowPunct/>
                    <w:topLinePunct w:val="0"/>
                    <w:autoSpaceDE/>
                    <w:autoSpaceDN/>
                    <w:bidi w:val="0"/>
                    <w:adjustRightInd w:val="0"/>
                    <w:snapToGrid w:val="0"/>
                    <w:ind w:right="0" w:rightChars="0"/>
                    <w:jc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w:t>
                  </w:r>
                </w:p>
              </w:tc>
              <w:tc>
                <w:tcPr>
                  <w:tcW w:w="315" w:type="pct"/>
                  <w:tcBorders>
                    <w:tl2br w:val="nil"/>
                    <w:tr2bl w:val="nil"/>
                  </w:tcBorders>
                  <w:noWrap w:val="0"/>
                  <w:vAlign w:val="center"/>
                </w:tcPr>
                <w:p w14:paraId="222C3A45">
                  <w:pPr>
                    <w:keepNext w:val="0"/>
                    <w:keepLines w:val="0"/>
                    <w:pageBreakBefore w:val="0"/>
                    <w:widowControl/>
                    <w:kinsoku/>
                    <w:wordWrap/>
                    <w:overflowPunct/>
                    <w:topLinePunct w:val="0"/>
                    <w:autoSpaceDE/>
                    <w:autoSpaceDN/>
                    <w:bidi w:val="0"/>
                    <w:adjustRightInd w:val="0"/>
                    <w:snapToGrid w:val="0"/>
                    <w:ind w:right="0" w:right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1.5</w:t>
                  </w:r>
                </w:p>
              </w:tc>
              <w:tc>
                <w:tcPr>
                  <w:tcW w:w="394" w:type="pct"/>
                  <w:tcBorders>
                    <w:tl2br w:val="nil"/>
                    <w:tr2bl w:val="nil"/>
                  </w:tcBorders>
                  <w:noWrap w:val="0"/>
                  <w:vAlign w:val="center"/>
                </w:tcPr>
                <w:p w14:paraId="23D6EF94">
                  <w:pPr>
                    <w:keepNext w:val="0"/>
                    <w:keepLines w:val="0"/>
                    <w:pageBreakBefore w:val="0"/>
                    <w:widowControl/>
                    <w:kinsoku/>
                    <w:wordWrap/>
                    <w:overflowPunct/>
                    <w:topLinePunct w:val="0"/>
                    <w:autoSpaceDE/>
                    <w:autoSpaceDN/>
                    <w:bidi w:val="0"/>
                    <w:adjustRightInd w:val="0"/>
                    <w:snapToGrid w:val="0"/>
                    <w:ind w:right="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w:t>
                  </w:r>
                </w:p>
              </w:tc>
              <w:tc>
                <w:tcPr>
                  <w:tcW w:w="464" w:type="pct"/>
                  <w:tcBorders>
                    <w:tl2br w:val="nil"/>
                    <w:tr2bl w:val="nil"/>
                  </w:tcBorders>
                  <w:noWrap w:val="0"/>
                  <w:vAlign w:val="center"/>
                </w:tcPr>
                <w:p w14:paraId="0A14F7B3">
                  <w:pPr>
                    <w:keepNext w:val="0"/>
                    <w:keepLines w:val="0"/>
                    <w:pageBreakBefore w:val="0"/>
                    <w:widowControl/>
                    <w:suppressLineNumbers w:val="0"/>
                    <w:kinsoku/>
                    <w:wordWrap/>
                    <w:overflowPunct/>
                    <w:topLinePunct w:val="0"/>
                    <w:autoSpaceDE/>
                    <w:autoSpaceDN/>
                    <w:bidi w:val="0"/>
                    <w:adjustRightInd w:val="0"/>
                    <w:snapToGrid w:val="0"/>
                    <w:ind w:right="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66</w:t>
                  </w:r>
                </w:p>
              </w:tc>
              <w:tc>
                <w:tcPr>
                  <w:tcW w:w="385" w:type="pct"/>
                  <w:vMerge w:val="continue"/>
                  <w:tcBorders>
                    <w:tl2br w:val="nil"/>
                    <w:tr2bl w:val="nil"/>
                  </w:tcBorders>
                  <w:noWrap w:val="0"/>
                  <w:vAlign w:val="center"/>
                </w:tcPr>
                <w:p w14:paraId="3191F852">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p>
              </w:tc>
              <w:tc>
                <w:tcPr>
                  <w:tcW w:w="521" w:type="pct"/>
                  <w:tcBorders>
                    <w:tl2br w:val="nil"/>
                    <w:tr2bl w:val="nil"/>
                  </w:tcBorders>
                  <w:noWrap w:val="0"/>
                  <w:vAlign w:val="center"/>
                </w:tcPr>
                <w:p w14:paraId="7E86FB12">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657" w:type="pct"/>
                  <w:tcBorders>
                    <w:tl2br w:val="nil"/>
                    <w:tr2bl w:val="nil"/>
                  </w:tcBorders>
                  <w:noWrap w:val="0"/>
                  <w:vAlign w:val="center"/>
                </w:tcPr>
                <w:p w14:paraId="636BABDA">
                  <w:pPr>
                    <w:keepNext w:val="0"/>
                    <w:keepLines w:val="0"/>
                    <w:pageBreakBefore w:val="0"/>
                    <w:kinsoku/>
                    <w:wordWrap/>
                    <w:overflowPunct/>
                    <w:topLinePunct w:val="0"/>
                    <w:autoSpaceDE/>
                    <w:autoSpaceDN/>
                    <w:bidi w:val="0"/>
                    <w:adjustRightInd w:val="0"/>
                    <w:snapToGrid w:val="0"/>
                    <w:ind w:right="0"/>
                    <w:jc w:val="cente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45</w:t>
                  </w:r>
                </w:p>
              </w:tc>
              <w:tc>
                <w:tcPr>
                  <w:tcW w:w="404" w:type="pct"/>
                  <w:tcBorders>
                    <w:tl2br w:val="nil"/>
                    <w:tr2bl w:val="nil"/>
                  </w:tcBorders>
                  <w:noWrap w:val="0"/>
                  <w:vAlign w:val="center"/>
                </w:tcPr>
                <w:p w14:paraId="6D9741C1">
                  <w:pPr>
                    <w:keepNext w:val="0"/>
                    <w:keepLines w:val="0"/>
                    <w:pageBreakBefore w:val="0"/>
                    <w:kinsoku/>
                    <w:wordWrap/>
                    <w:overflowPunct/>
                    <w:topLinePunct w:val="0"/>
                    <w:autoSpaceDE/>
                    <w:autoSpaceDN/>
                    <w:bidi w:val="0"/>
                    <w:adjustRightInd w:val="0"/>
                    <w:snapToGrid w:val="0"/>
                    <w:ind w:right="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r>
          </w:tbl>
          <w:p w14:paraId="7190A5ED">
            <w:pPr>
              <w:pStyle w:val="29"/>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right="0"/>
              <w:jc w:val="left"/>
              <w:textAlignment w:val="auto"/>
              <w:rPr>
                <w:rFonts w:hint="default"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
              </w:rPr>
              <w:t>注：（0，0，0）点为本项目</w:t>
            </w:r>
            <w:r>
              <w:rPr>
                <w:rFonts w:hint="eastAsia" w:ascii="Times New Roman" w:hAnsi="Times New Roman" w:eastAsia="宋体" w:cs="Times New Roman"/>
                <w:b w:val="0"/>
                <w:bCs w:val="0"/>
                <w:color w:val="auto"/>
                <w:kern w:val="0"/>
                <w:sz w:val="21"/>
                <w:szCs w:val="21"/>
                <w:highlight w:val="none"/>
                <w:lang w:val="en-US" w:eastAsia="zh-CN" w:bidi="ar"/>
              </w:rPr>
              <w:t>一氧化二氮充装车间东南角</w:t>
            </w:r>
            <w:r>
              <w:rPr>
                <w:rFonts w:hint="default" w:ascii="Times New Roman" w:hAnsi="Times New Roman" w:cs="Times New Roman"/>
                <w:b w:val="0"/>
                <w:bCs w:val="0"/>
                <w:color w:val="auto"/>
                <w:kern w:val="0"/>
                <w:sz w:val="21"/>
                <w:szCs w:val="21"/>
                <w:highlight w:val="none"/>
                <w:lang w:val="en-US" w:eastAsia="zh-CN" w:bidi="ar"/>
              </w:rPr>
              <w:t>（东经</w:t>
            </w:r>
            <w:r>
              <w:rPr>
                <w:rFonts w:hint="default" w:ascii="Times New Roman" w:hAnsi="Times New Roman" w:eastAsia="宋体" w:cs="Times New Roman"/>
                <w:b w:val="0"/>
                <w:bCs w:val="0"/>
                <w:color w:val="auto"/>
                <w:kern w:val="0"/>
                <w:sz w:val="21"/>
                <w:szCs w:val="21"/>
                <w:highlight w:val="none"/>
                <w:lang w:val="en-US" w:eastAsia="zh-CN" w:bidi="ar"/>
              </w:rPr>
              <w:t>123.70321794</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北纬41.47395597）</w:t>
            </w:r>
          </w:p>
          <w:p w14:paraId="02422A4D">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eastAsia="zh-CN"/>
              </w:rPr>
            </w:pP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eastAsia="zh-CN"/>
              </w:rPr>
              <w:t>噪声预测</w:t>
            </w:r>
          </w:p>
          <w:p w14:paraId="7470E0C1">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由工程分析可知，</w:t>
            </w:r>
            <w:r>
              <w:rPr>
                <w:rFonts w:hint="default" w:ascii="Times New Roman" w:hAnsi="Times New Roman" w:cs="Times New Roman"/>
                <w:color w:val="auto"/>
                <w:sz w:val="24"/>
                <w:highlight w:val="none"/>
                <w:lang w:val="en-US" w:eastAsia="zh-CN"/>
              </w:rPr>
              <w:t>项目</w:t>
            </w:r>
            <w:r>
              <w:rPr>
                <w:rFonts w:hint="default" w:ascii="Times New Roman" w:hAnsi="Times New Roman" w:cs="Times New Roman"/>
                <w:color w:val="auto"/>
                <w:sz w:val="24"/>
                <w:highlight w:val="none"/>
                <w:lang w:eastAsia="zh-CN"/>
              </w:rPr>
              <w:t>运营期间采取选用低噪声设备，主要噪声源为</w:t>
            </w:r>
            <w:r>
              <w:rPr>
                <w:rFonts w:hint="eastAsia" w:cs="Times New Roman"/>
                <w:color w:val="auto"/>
                <w:sz w:val="24"/>
                <w:highlight w:val="none"/>
                <w:lang w:val="en-US" w:eastAsia="zh-CN"/>
              </w:rPr>
              <w:t>废气治理设施配套风机</w:t>
            </w:r>
            <w:r>
              <w:rPr>
                <w:rFonts w:hint="default" w:ascii="Times New Roman" w:hAnsi="Times New Roman" w:cs="Times New Roman"/>
                <w:color w:val="auto"/>
                <w:sz w:val="24"/>
                <w:highlight w:val="none"/>
                <w:lang w:eastAsia="zh-CN"/>
              </w:rPr>
              <w:t>等设备，拟采用</w:t>
            </w:r>
            <w:r>
              <w:rPr>
                <w:rFonts w:hint="eastAsia" w:cs="Times New Roman"/>
                <w:color w:val="auto"/>
                <w:sz w:val="24"/>
                <w:highlight w:val="none"/>
                <w:lang w:val="en-US" w:eastAsia="zh-CN"/>
              </w:rPr>
              <w:t>隔声、进口安装消声器等措施</w:t>
            </w:r>
            <w:r>
              <w:rPr>
                <w:rFonts w:hint="default" w:ascii="Times New Roman" w:hAnsi="Times New Roman" w:cs="Times New Roman"/>
                <w:color w:val="auto"/>
                <w:sz w:val="24"/>
                <w:highlight w:val="none"/>
                <w:lang w:eastAsia="zh-CN"/>
              </w:rPr>
              <w:t>降低噪音。通过上述措施后，平均可</w:t>
            </w:r>
            <w:r>
              <w:rPr>
                <w:rFonts w:hint="eastAsia" w:cs="Times New Roman"/>
                <w:color w:val="auto"/>
                <w:sz w:val="24"/>
                <w:highlight w:val="none"/>
                <w:lang w:val="en-US" w:eastAsia="zh-CN"/>
              </w:rPr>
              <w:t>降</w:t>
            </w:r>
            <w:r>
              <w:rPr>
                <w:rFonts w:hint="default" w:ascii="Times New Roman" w:hAnsi="Times New Roman" w:cs="Times New Roman"/>
                <w:color w:val="auto"/>
                <w:sz w:val="24"/>
                <w:highlight w:val="none"/>
                <w:lang w:eastAsia="zh-CN"/>
              </w:rPr>
              <w:t>低</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lang w:eastAsia="zh-CN"/>
              </w:rPr>
              <w:t>dB(A)。</w:t>
            </w:r>
          </w:p>
          <w:p w14:paraId="4B1C9504">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根据本项目设备声源特征和声环境的特点，依据《环境影响评价技术导则 声环境》（HJ2.4-20</w:t>
            </w:r>
            <w:r>
              <w:rPr>
                <w:rFonts w:hint="default" w:ascii="Times New Roman" w:hAnsi="Times New Roman" w:cs="Times New Roman"/>
                <w:color w:val="auto"/>
                <w:sz w:val="24"/>
                <w:highlight w:val="none"/>
                <w:lang w:val="en-US" w:eastAsia="zh-CN"/>
              </w:rPr>
              <w:t>21</w:t>
            </w:r>
            <w:r>
              <w:rPr>
                <w:rFonts w:hint="default" w:ascii="Times New Roman" w:hAnsi="Times New Roman" w:cs="Times New Roman"/>
                <w:color w:val="auto"/>
                <w:sz w:val="24"/>
                <w:highlight w:val="none"/>
                <w:lang w:eastAsia="zh-CN"/>
              </w:rPr>
              <w:t>）中推荐的点声源衰减模式，计算公式如下：</w:t>
            </w:r>
          </w:p>
          <w:p w14:paraId="07B0F25E">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a</w:t>
            </w:r>
            <w:r>
              <w:rPr>
                <w:rFonts w:hint="default" w:ascii="Times New Roman" w:hAnsi="Times New Roman" w:cs="Times New Roman"/>
                <w:color w:val="auto"/>
                <w:sz w:val="24"/>
                <w:highlight w:val="none"/>
              </w:rPr>
              <w:t>点声源衰减公式</w:t>
            </w:r>
          </w:p>
          <w:p w14:paraId="290C372D">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计算采用《环境影响评价技术导则 声环境》（</w:t>
            </w:r>
            <w:r>
              <w:rPr>
                <w:rFonts w:hint="default" w:ascii="Times New Roman" w:hAnsi="Times New Roman" w:cs="Times New Roman"/>
                <w:color w:val="auto"/>
                <w:sz w:val="24"/>
                <w:highlight w:val="none"/>
                <w:lang w:eastAsia="zh-CN"/>
              </w:rPr>
              <w:t>HJ2.4-2021</w:t>
            </w:r>
            <w:r>
              <w:rPr>
                <w:rFonts w:hint="default" w:ascii="Times New Roman" w:hAnsi="Times New Roman" w:cs="Times New Roman"/>
                <w:color w:val="auto"/>
                <w:sz w:val="24"/>
                <w:highlight w:val="none"/>
              </w:rPr>
              <w:t>）中推荐的点声源衰减模式，计算公式如下：</w:t>
            </w:r>
          </w:p>
          <w:p w14:paraId="56EE61BD">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1）室外的倍频带声压级可按式（B.1）近似求出</w:t>
            </w:r>
            <w:r>
              <w:rPr>
                <w:rFonts w:hint="eastAsia" w:cs="Times New Roman"/>
                <w:color w:val="auto"/>
                <w:sz w:val="24"/>
                <w:highlight w:val="none"/>
                <w:lang w:val="en-US" w:eastAsia="zh-CN"/>
              </w:rPr>
              <w:t>：</w:t>
            </w:r>
          </w:p>
          <w:p w14:paraId="12169F4A">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p2</w:t>
            </w: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p1</w:t>
            </w:r>
            <w:r>
              <w:rPr>
                <w:rFonts w:hint="default" w:ascii="Times New Roman" w:hAnsi="Times New Roman" w:cs="Times New Roman"/>
                <w:color w:val="auto"/>
                <w:sz w:val="24"/>
                <w:highlight w:val="none"/>
                <w:lang w:val="en-US" w:eastAsia="zh-CN"/>
              </w:rPr>
              <w:t>-（T</w:t>
            </w:r>
            <w:r>
              <w:rPr>
                <w:rFonts w:hint="default" w:ascii="Times New Roman" w:hAnsi="Times New Roman" w:cs="Times New Roman"/>
                <w:color w:val="auto"/>
                <w:sz w:val="24"/>
                <w:highlight w:val="none"/>
                <w:vertAlign w:val="subscript"/>
                <w:lang w:val="en-US" w:eastAsia="zh-CN"/>
              </w:rPr>
              <w:t>L</w:t>
            </w:r>
            <w:r>
              <w:rPr>
                <w:rFonts w:hint="default" w:ascii="Times New Roman" w:hAnsi="Times New Roman" w:cs="Times New Roman"/>
                <w:color w:val="auto"/>
                <w:sz w:val="24"/>
                <w:highlight w:val="none"/>
                <w:lang w:val="en-US" w:eastAsia="zh-CN"/>
              </w:rPr>
              <w:t>+6）</w:t>
            </w:r>
          </w:p>
          <w:p w14:paraId="4FDB31B1">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p1</w:t>
            </w:r>
            <w:r>
              <w:rPr>
                <w:rFonts w:hint="default" w:ascii="Times New Roman" w:hAnsi="Times New Roman" w:cs="Times New Roman"/>
                <w:color w:val="auto"/>
                <w:sz w:val="24"/>
                <w:highlight w:val="none"/>
                <w:lang w:val="en-US" w:eastAsia="zh-CN"/>
              </w:rPr>
              <w:t xml:space="preserve">——靠近开口处（或窗户）室内某倍频带的声压级或A声级，dB； </w:t>
            </w:r>
          </w:p>
          <w:p w14:paraId="2EC8DE13">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p2</w:t>
            </w:r>
            <w:r>
              <w:rPr>
                <w:rFonts w:hint="default" w:ascii="Times New Roman" w:hAnsi="Times New Roman" w:cs="Times New Roman"/>
                <w:color w:val="auto"/>
                <w:sz w:val="24"/>
                <w:highlight w:val="none"/>
                <w:lang w:val="en-US" w:eastAsia="zh-CN"/>
              </w:rPr>
              <w:t xml:space="preserve">——靠近开口处（或窗户）室外某倍频带的声压级或A声级，dB； </w:t>
            </w:r>
          </w:p>
          <w:p w14:paraId="64BFD21C">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T</w:t>
            </w:r>
            <w:r>
              <w:rPr>
                <w:rFonts w:hint="default" w:ascii="Times New Roman" w:hAnsi="Times New Roman" w:cs="Times New Roman"/>
                <w:color w:val="auto"/>
                <w:sz w:val="24"/>
                <w:highlight w:val="none"/>
                <w:vertAlign w:val="subscript"/>
                <w:lang w:val="en-US" w:eastAsia="zh-CN"/>
              </w:rPr>
              <w:t>L</w:t>
            </w:r>
            <w:r>
              <w:rPr>
                <w:rFonts w:hint="default" w:ascii="Times New Roman" w:hAnsi="Times New Roman" w:cs="Times New Roman"/>
                <w:color w:val="auto"/>
                <w:sz w:val="24"/>
                <w:highlight w:val="none"/>
                <w:lang w:val="en-US" w:eastAsia="zh-CN"/>
              </w:rPr>
              <w:t xml:space="preserve">——隔墙（或窗户）倍频带或A声级的隔声量，dB。 </w:t>
            </w:r>
          </w:p>
          <w:p w14:paraId="3BDE9FB9">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lang w:eastAsia="zh-CN"/>
              </w:rPr>
            </w:pP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lang w:eastAsia="zh-CN"/>
              </w:rPr>
              <w:t>）噪声贡献值</w:t>
            </w:r>
          </w:p>
          <w:p w14:paraId="06811075">
            <w:pPr>
              <w:keepNext w:val="0"/>
              <w:keepLines w:val="0"/>
              <w:pageBreakBefore w:val="0"/>
              <w:widowControl w:val="0"/>
              <w:kinsoku/>
              <w:wordWrap/>
              <w:overflowPunct/>
              <w:topLinePunct w:val="0"/>
              <w:autoSpaceDE/>
              <w:autoSpaceDN/>
              <w:bidi w:val="0"/>
              <w:adjustRightInd/>
              <w:snapToGrid/>
              <w:spacing w:line="360" w:lineRule="auto"/>
              <w:ind w:left="120" w:leftChars="5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根据</w:t>
            </w:r>
            <w:r>
              <w:rPr>
                <w:rFonts w:hint="default" w:ascii="Times New Roman" w:hAnsi="Times New Roman" w:cs="Times New Roman"/>
                <w:color w:val="auto"/>
                <w:sz w:val="24"/>
                <w:highlight w:val="none"/>
              </w:rPr>
              <w:t>《环境影响评价技术导则声环境（HJ2.4-20</w:t>
            </w:r>
            <w:r>
              <w:rPr>
                <w:rFonts w:hint="default" w:ascii="Times New Roman" w:hAnsi="Times New Roman" w:cs="Times New Roman"/>
                <w:color w:val="auto"/>
                <w:sz w:val="24"/>
                <w:highlight w:val="none"/>
                <w:lang w:val="en-US" w:eastAsia="zh-CN"/>
              </w:rPr>
              <w:t>21</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3.10公式（2），噪声贡献值（L</w:t>
            </w:r>
            <w:r>
              <w:rPr>
                <w:rFonts w:hint="default" w:ascii="Times New Roman" w:hAnsi="Times New Roman" w:cs="Times New Roman"/>
                <w:color w:val="auto"/>
                <w:sz w:val="24"/>
                <w:highlight w:val="none"/>
                <w:vertAlign w:val="subscript"/>
                <w:lang w:val="en-US" w:eastAsia="zh-CN"/>
              </w:rPr>
              <w:t>eqg</w:t>
            </w:r>
            <w:r>
              <w:rPr>
                <w:rFonts w:hint="default" w:ascii="Times New Roman" w:hAnsi="Times New Roman" w:cs="Times New Roman"/>
                <w:color w:val="auto"/>
                <w:sz w:val="24"/>
                <w:highlight w:val="none"/>
                <w:lang w:val="en-US" w:eastAsia="zh-CN"/>
              </w:rPr>
              <w:t>）计算公式为：</w:t>
            </w:r>
          </w:p>
          <w:p w14:paraId="1D668B8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eqg</w:t>
            </w:r>
            <w:r>
              <w:rPr>
                <w:rFonts w:hint="default" w:ascii="Times New Roman" w:hAnsi="Times New Roman" w:cs="Times New Roman"/>
                <w:color w:val="auto"/>
                <w:sz w:val="24"/>
                <w:highlight w:val="none"/>
                <w:lang w:val="en-US" w:eastAsia="zh-CN"/>
              </w:rPr>
              <w:t>=10lg（</w:t>
            </w:r>
            <m:oMath>
              <m:f>
                <m:fPr>
                  <m:ctrlPr>
                    <w:rPr>
                      <w:rFonts w:hint="default" w:ascii="Cambria Math" w:hAnsi="Cambria Math" w:cs="Times New Roman"/>
                      <w:color w:val="auto"/>
                      <w:sz w:val="24"/>
                      <w:highlight w:val="none"/>
                      <w:lang w:val="en-US"/>
                    </w:rPr>
                  </m:ctrlPr>
                </m:fPr>
                <m:num>
                  <m:r>
                    <m:rPr>
                      <m:sty m:val="p"/>
                    </m:rPr>
                    <w:rPr>
                      <w:rFonts w:hint="default" w:ascii="Cambria Math" w:hAnsi="Cambria Math" w:cs="Times New Roman"/>
                      <w:color w:val="auto"/>
                      <w:sz w:val="24"/>
                      <w:highlight w:val="none"/>
                      <w:lang w:val="en-US" w:eastAsia="zh-CN"/>
                    </w:rPr>
                    <m:t>1</m:t>
                  </m:r>
                  <m:ctrlPr>
                    <w:rPr>
                      <w:rFonts w:hint="default" w:ascii="Cambria Math" w:hAnsi="Cambria Math" w:cs="Times New Roman"/>
                      <w:color w:val="auto"/>
                      <w:sz w:val="24"/>
                      <w:highlight w:val="none"/>
                      <w:lang w:val="en-US"/>
                    </w:rPr>
                  </m:ctrlPr>
                </m:num>
                <m:den>
                  <m:r>
                    <m:rPr>
                      <m:sty m:val="p"/>
                    </m:rPr>
                    <w:rPr>
                      <w:rFonts w:hint="default" w:ascii="Cambria Math" w:hAnsi="Cambria Math" w:cs="Times New Roman"/>
                      <w:color w:val="auto"/>
                      <w:sz w:val="24"/>
                      <w:highlight w:val="none"/>
                      <w:lang w:val="en-US" w:eastAsia="zh-CN"/>
                    </w:rPr>
                    <m:t>T</m:t>
                  </m:r>
                  <m:ctrlPr>
                    <w:rPr>
                      <w:rFonts w:hint="default" w:ascii="Cambria Math" w:hAnsi="Cambria Math" w:cs="Times New Roman"/>
                      <w:color w:val="auto"/>
                      <w:sz w:val="24"/>
                      <w:highlight w:val="none"/>
                      <w:lang w:val="en-US"/>
                    </w:rPr>
                  </m:ctrlPr>
                </m:den>
              </m:f>
              <m:nary>
                <m:naryPr>
                  <m:chr m:val="∑"/>
                  <m:limLoc m:val="undOvr"/>
                  <m:supHide m:val="1"/>
                  <m:ctrlPr>
                    <w:rPr>
                      <w:rFonts w:hint="default" w:ascii="Cambria Math" w:hAnsi="Cambria Math" w:cs="Times New Roman"/>
                      <w:color w:val="auto"/>
                      <w:sz w:val="24"/>
                      <w:highlight w:val="none"/>
                      <w:lang w:val="en-US"/>
                    </w:rPr>
                  </m:ctrlPr>
                </m:naryPr>
                <m:sub>
                  <m:r>
                    <m:rPr>
                      <m:sty m:val="p"/>
                    </m:rPr>
                    <w:rPr>
                      <w:rFonts w:hint="default" w:ascii="Cambria Math" w:hAnsi="Cambria Math" w:cs="Times New Roman"/>
                      <w:color w:val="auto"/>
                      <w:sz w:val="24"/>
                      <w:highlight w:val="none"/>
                      <w:lang w:val="en-US" w:eastAsia="zh-CN"/>
                    </w:rPr>
                    <m:t>i</m:t>
                  </m:r>
                  <m:ctrlPr>
                    <w:rPr>
                      <w:rFonts w:hint="default" w:ascii="Cambria Math" w:hAnsi="Cambria Math" w:cs="Times New Roman"/>
                      <w:color w:val="auto"/>
                      <w:sz w:val="24"/>
                      <w:highlight w:val="none"/>
                      <w:lang w:val="en-US"/>
                    </w:rPr>
                  </m:ctrlPr>
                </m:sub>
                <m:sup>
                  <m:ctrlPr>
                    <w:rPr>
                      <w:rFonts w:hint="default" w:ascii="Cambria Math" w:hAnsi="Cambria Math" w:cs="Times New Roman"/>
                      <w:color w:val="auto"/>
                      <w:sz w:val="24"/>
                      <w:highlight w:val="none"/>
                      <w:lang w:val="en-US"/>
                    </w:rPr>
                  </m:ctrlPr>
                </m:sup>
                <m:e>
                  <m:r>
                    <m:rPr>
                      <m:sty m:val="p"/>
                    </m:rPr>
                    <w:rPr>
                      <w:rFonts w:hint="default" w:ascii="Cambria Math" w:hAnsi="Cambria Math" w:cs="Times New Roman"/>
                      <w:color w:val="auto"/>
                      <w:sz w:val="24"/>
                      <w:highlight w:val="none"/>
                      <w:lang w:val="en-US" w:eastAsia="zh-CN"/>
                    </w:rPr>
                    <m:t>ti</m:t>
                  </m:r>
                  <m:ctrlPr>
                    <w:rPr>
                      <w:rFonts w:hint="default" w:ascii="Cambria Math" w:hAnsi="Cambria Math" w:cs="Times New Roman"/>
                      <w:color w:val="auto"/>
                      <w:sz w:val="24"/>
                      <w:highlight w:val="none"/>
                      <w:lang w:val="en-US"/>
                    </w:rPr>
                  </m:ctrlPr>
                </m:e>
              </m:nary>
            </m:oMath>
            <w:r>
              <w:rPr>
                <w:rFonts w:hint="default" w:ascii="Times New Roman" w:hAnsi="Times New Roman" w:cs="Times New Roman"/>
                <w:color w:val="auto"/>
                <w:sz w:val="24"/>
                <w:highlight w:val="none"/>
                <w:lang w:val="en-US" w:eastAsia="zh-CN"/>
              </w:rPr>
              <w:t>100.1L</w:t>
            </w:r>
            <w:r>
              <w:rPr>
                <w:rFonts w:hint="default" w:ascii="Times New Roman" w:hAnsi="Times New Roman" w:cs="Times New Roman"/>
                <w:color w:val="auto"/>
                <w:sz w:val="24"/>
                <w:highlight w:val="none"/>
                <w:vertAlign w:val="subscript"/>
                <w:lang w:val="en-US" w:eastAsia="zh-CN"/>
              </w:rPr>
              <w:t>Ai</w:t>
            </w:r>
            <w:r>
              <w:rPr>
                <w:rFonts w:hint="default" w:ascii="Times New Roman" w:hAnsi="Times New Roman" w:cs="Times New Roman"/>
                <w:color w:val="auto"/>
                <w:sz w:val="24"/>
                <w:highlight w:val="none"/>
                <w:lang w:val="en-US" w:eastAsia="zh-CN"/>
              </w:rPr>
              <w:t>）</w:t>
            </w:r>
          </w:p>
          <w:p w14:paraId="6DCD529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式中：</w:t>
            </w:r>
          </w:p>
          <w:p w14:paraId="3B775B9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eqg</w:t>
            </w:r>
            <w:r>
              <w:rPr>
                <w:rFonts w:hint="default" w:ascii="Times New Roman" w:hAnsi="Times New Roman" w:cs="Times New Roman"/>
                <w:color w:val="auto"/>
                <w:sz w:val="24"/>
                <w:highlight w:val="none"/>
                <w:lang w:val="en-US" w:eastAsia="zh-CN"/>
              </w:rPr>
              <w:t xml:space="preserve">——噪声贡献值，dB； </w:t>
            </w:r>
          </w:p>
          <w:p w14:paraId="41999E8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T——预测计算的时间段，s； </w:t>
            </w:r>
          </w:p>
          <w:p w14:paraId="56EDB56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ti—— i声源在T时段内的运行时间，s； </w:t>
            </w:r>
          </w:p>
          <w:p w14:paraId="0B9393A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 xml:space="preserve">Ai </w:t>
            </w:r>
            <w:r>
              <w:rPr>
                <w:rFonts w:hint="default" w:ascii="Times New Roman" w:hAnsi="Times New Roman" w:cs="Times New Roman"/>
                <w:color w:val="auto"/>
                <w:sz w:val="24"/>
                <w:highlight w:val="none"/>
                <w:lang w:val="en-US" w:eastAsia="zh-CN"/>
              </w:rPr>
              <w:t>——i声源在预测点产生的等效连续A声级，dB。</w:t>
            </w:r>
          </w:p>
          <w:p w14:paraId="540051B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噪声预测值</w:t>
            </w:r>
          </w:p>
          <w:p w14:paraId="33A7E2E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根据</w:t>
            </w:r>
            <w:r>
              <w:rPr>
                <w:rFonts w:hint="default" w:ascii="Times New Roman" w:hAnsi="Times New Roman" w:cs="Times New Roman"/>
                <w:color w:val="auto"/>
                <w:sz w:val="24"/>
                <w:highlight w:val="none"/>
              </w:rPr>
              <w:t>《环境影响评价技术导则声环境（HJ2.4-20</w:t>
            </w:r>
            <w:r>
              <w:rPr>
                <w:rFonts w:hint="default" w:ascii="Times New Roman" w:hAnsi="Times New Roman" w:cs="Times New Roman"/>
                <w:color w:val="auto"/>
                <w:sz w:val="24"/>
                <w:highlight w:val="none"/>
                <w:lang w:val="en-US" w:eastAsia="zh-CN"/>
              </w:rPr>
              <w:t>21</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3.11公式（3），噪声贡献值（L</w:t>
            </w:r>
            <w:r>
              <w:rPr>
                <w:rFonts w:hint="default" w:ascii="Times New Roman" w:hAnsi="Times New Roman" w:cs="Times New Roman"/>
                <w:color w:val="auto"/>
                <w:sz w:val="24"/>
                <w:highlight w:val="none"/>
                <w:vertAlign w:val="subscript"/>
                <w:lang w:val="en-US" w:eastAsia="zh-CN"/>
              </w:rPr>
              <w:t>eq</w:t>
            </w:r>
            <w:r>
              <w:rPr>
                <w:rFonts w:hint="default" w:ascii="Times New Roman" w:hAnsi="Times New Roman" w:cs="Times New Roman"/>
                <w:color w:val="auto"/>
                <w:sz w:val="24"/>
                <w:highlight w:val="none"/>
                <w:lang w:val="en-US" w:eastAsia="zh-CN"/>
              </w:rPr>
              <w:t>）计算公式为：</w:t>
            </w:r>
          </w:p>
          <w:p w14:paraId="72D3C43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w:t>
            </w:r>
            <w:r>
              <w:rPr>
                <w:rFonts w:hint="default" w:ascii="Times New Roman" w:hAnsi="Times New Roman" w:cs="Times New Roman"/>
                <w:color w:val="auto"/>
                <w:sz w:val="24"/>
                <w:highlight w:val="none"/>
                <w:lang w:val="en-US" w:eastAsia="zh-CN"/>
              </w:rPr>
              <w:t>=10lg（10</w:t>
            </w:r>
            <w:r>
              <w:rPr>
                <w:rFonts w:hint="default" w:ascii="Times New Roman" w:hAnsi="Times New Roman" w:cs="Times New Roman"/>
                <w:color w:val="auto"/>
                <w:sz w:val="24"/>
                <w:highlight w:val="none"/>
                <w:vertAlign w:val="superscript"/>
                <w:lang w:val="en-US" w:eastAsia="zh-CN"/>
              </w:rPr>
              <w:t>0.1</w:t>
            </w: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eqg</w:t>
            </w:r>
            <w:r>
              <w:rPr>
                <w:rFonts w:hint="default" w:ascii="Times New Roman" w:hAnsi="Times New Roman" w:cs="Times New Roman"/>
                <w:color w:val="auto"/>
                <w:sz w:val="24"/>
                <w:highlight w:val="none"/>
                <w:lang w:val="en-US" w:eastAsia="zh-CN"/>
              </w:rPr>
              <w:t>+10</w:t>
            </w:r>
            <w:r>
              <w:rPr>
                <w:rFonts w:hint="default" w:ascii="Times New Roman" w:hAnsi="Times New Roman" w:cs="Times New Roman"/>
                <w:color w:val="auto"/>
                <w:sz w:val="24"/>
                <w:highlight w:val="none"/>
                <w:vertAlign w:val="superscript"/>
                <w:lang w:val="en-US" w:eastAsia="zh-CN"/>
              </w:rPr>
              <w:t>0.1</w:t>
            </w: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eqgb</w:t>
            </w:r>
            <w:r>
              <w:rPr>
                <w:rFonts w:hint="default" w:ascii="Times New Roman" w:hAnsi="Times New Roman" w:cs="Times New Roman"/>
                <w:color w:val="auto"/>
                <w:sz w:val="24"/>
                <w:highlight w:val="none"/>
                <w:lang w:val="en-US" w:eastAsia="zh-CN"/>
              </w:rPr>
              <w:t>）</w:t>
            </w:r>
          </w:p>
          <w:p w14:paraId="47D6C5D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式中：</w:t>
            </w:r>
          </w:p>
          <w:p w14:paraId="1E5D229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w:t>
            </w:r>
            <w:r>
              <w:rPr>
                <w:rFonts w:hint="default" w:ascii="Times New Roman" w:hAnsi="Times New Roman" w:cs="Times New Roman"/>
                <w:color w:val="auto"/>
                <w:sz w:val="24"/>
                <w:highlight w:val="none"/>
                <w:lang w:val="en-US" w:eastAsia="zh-CN"/>
              </w:rPr>
              <w:t>——预测点的噪声预测值，dB；</w:t>
            </w:r>
          </w:p>
          <w:p w14:paraId="546DC9F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eqg</w:t>
            </w:r>
            <w:r>
              <w:rPr>
                <w:rFonts w:hint="default" w:ascii="Times New Roman" w:hAnsi="Times New Roman" w:cs="Times New Roman"/>
                <w:color w:val="auto"/>
                <w:sz w:val="24"/>
                <w:highlight w:val="none"/>
                <w:lang w:val="en-US" w:eastAsia="zh-CN"/>
              </w:rPr>
              <w:t xml:space="preserve">——建设项目声源在预测点产生的噪声贡献值，dB； </w:t>
            </w:r>
          </w:p>
          <w:p w14:paraId="6BBDCF8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vertAlign w:val="subscript"/>
                <w:lang w:val="en-US" w:eastAsia="zh-CN"/>
              </w:rPr>
              <w:t>eqb</w:t>
            </w:r>
            <w:r>
              <w:rPr>
                <w:rFonts w:hint="default" w:ascii="Times New Roman" w:hAnsi="Times New Roman" w:cs="Times New Roman"/>
                <w:color w:val="auto"/>
                <w:sz w:val="24"/>
                <w:highlight w:val="none"/>
                <w:lang w:val="en-US" w:eastAsia="zh-CN"/>
              </w:rPr>
              <w:t xml:space="preserve">——预测点的背景噪声值，dB。 </w:t>
            </w:r>
          </w:p>
          <w:p w14:paraId="1B4F0F2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1"/>
                <w:highlight w:val="none"/>
                <w:lang w:val="en-US" w:eastAsia="zh-CN"/>
              </w:rPr>
            </w:pPr>
            <w:r>
              <w:rPr>
                <w:rFonts w:hint="default" w:ascii="Times New Roman" w:hAnsi="Times New Roman" w:cs="Times New Roman"/>
                <w:color w:val="auto"/>
                <w:sz w:val="24"/>
                <w:highlight w:val="none"/>
              </w:rPr>
              <w:t>具体预测方法为以各噪声设备为噪声点源，根据距厂界的距离及衰减状况，计算各点源对厂界的</w:t>
            </w:r>
            <w:r>
              <w:rPr>
                <w:rFonts w:hint="default" w:ascii="Times New Roman" w:hAnsi="Times New Roman" w:cs="Times New Roman"/>
                <w:color w:val="auto"/>
                <w:sz w:val="24"/>
                <w:highlight w:val="none"/>
                <w:lang w:val="en-US" w:eastAsia="zh-CN"/>
              </w:rPr>
              <w:t>预测</w:t>
            </w:r>
            <w:r>
              <w:rPr>
                <w:rFonts w:hint="default" w:ascii="Times New Roman" w:hAnsi="Times New Roman" w:cs="Times New Roman"/>
                <w:color w:val="auto"/>
                <w:sz w:val="24"/>
                <w:highlight w:val="none"/>
              </w:rPr>
              <w:t>值。</w:t>
            </w:r>
            <w:r>
              <w:rPr>
                <w:rFonts w:hint="eastAsia" w:cs="Times New Roman"/>
                <w:color w:val="auto"/>
                <w:sz w:val="24"/>
                <w:highlight w:val="none"/>
                <w:lang w:val="en-US" w:eastAsia="zh-CN"/>
              </w:rPr>
              <w:t>具体预测结果如下表所示。</w:t>
            </w:r>
          </w:p>
          <w:p w14:paraId="61D1A100">
            <w:pPr>
              <w:spacing w:line="240" w:lineRule="auto"/>
              <w:ind w:firstLine="420" w:firstLineChars="200"/>
              <w:jc w:val="center"/>
              <w:rPr>
                <w:rFonts w:hint="default" w:ascii="Times New Roman" w:hAnsi="Times New Roman" w:eastAsia="黑体" w:cs="Times New Roman"/>
                <w:b w:val="0"/>
                <w:bCs/>
                <w:color w:val="auto"/>
                <w:sz w:val="21"/>
                <w:szCs w:val="21"/>
                <w:highlight w:val="none"/>
              </w:rPr>
            </w:pPr>
            <w:r>
              <w:rPr>
                <w:rFonts w:hint="eastAsia" w:ascii="黑体" w:hAnsi="黑体" w:eastAsia="黑体" w:cs="黑体"/>
                <w:b w:val="0"/>
                <w:bCs/>
                <w:color w:val="auto"/>
                <w:sz w:val="21"/>
                <w:szCs w:val="21"/>
                <w:highlight w:val="none"/>
              </w:rPr>
              <w:t>表</w:t>
            </w:r>
            <w:r>
              <w:rPr>
                <w:rFonts w:hint="eastAsia" w:ascii="黑体" w:hAnsi="黑体" w:eastAsia="黑体" w:cs="黑体"/>
                <w:b w:val="0"/>
                <w:bCs/>
                <w:color w:val="auto"/>
                <w:sz w:val="21"/>
                <w:szCs w:val="21"/>
                <w:highlight w:val="none"/>
                <w:lang w:val="en-US" w:eastAsia="zh-CN"/>
              </w:rPr>
              <w:t>4-10</w:t>
            </w:r>
            <w:r>
              <w:rPr>
                <w:rFonts w:hint="eastAsia" w:ascii="黑体" w:hAnsi="黑体" w:eastAsia="黑体" w:cs="黑体"/>
                <w:b w:val="0"/>
                <w:bCs/>
                <w:color w:val="auto"/>
                <w:sz w:val="21"/>
                <w:szCs w:val="21"/>
                <w:highlight w:val="none"/>
              </w:rPr>
              <w:t>项目厂界噪声贡献值计算结果一览表</w:t>
            </w:r>
          </w:p>
          <w:tbl>
            <w:tblPr>
              <w:tblStyle w:val="24"/>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742"/>
              <w:gridCol w:w="1571"/>
              <w:gridCol w:w="1784"/>
              <w:gridCol w:w="1432"/>
            </w:tblGrid>
            <w:tr w14:paraId="3DD8F2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tcBorders>
                    <w:tl2br w:val="nil"/>
                    <w:tr2bl w:val="nil"/>
                  </w:tcBorders>
                  <w:noWrap/>
                  <w:vAlign w:val="center"/>
                </w:tcPr>
                <w:p w14:paraId="5426CB94">
                  <w:pPr>
                    <w:autoSpaceDE w:val="0"/>
                    <w:autoSpaceDN w:val="0"/>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噪声源</w:t>
                  </w:r>
                </w:p>
              </w:tc>
              <w:tc>
                <w:tcPr>
                  <w:tcW w:w="1133" w:type="pct"/>
                  <w:tcBorders>
                    <w:tl2br w:val="nil"/>
                    <w:tr2bl w:val="nil"/>
                  </w:tcBorders>
                  <w:noWrap/>
                  <w:vAlign w:val="center"/>
                </w:tcPr>
                <w:p w14:paraId="1D4F792E">
                  <w:pPr>
                    <w:autoSpaceDE w:val="0"/>
                    <w:autoSpaceDN w:val="0"/>
                    <w:adjustRightInd w:val="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叠加值dB</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A</w:t>
                  </w:r>
                  <w:r>
                    <w:rPr>
                      <w:rFonts w:hint="eastAsia" w:cs="Times New Roman"/>
                      <w:color w:val="auto"/>
                      <w:sz w:val="21"/>
                      <w:szCs w:val="21"/>
                      <w:highlight w:val="none"/>
                      <w:lang w:eastAsia="zh-CN"/>
                    </w:rPr>
                    <w:t>）</w:t>
                  </w:r>
                </w:p>
              </w:tc>
              <w:tc>
                <w:tcPr>
                  <w:tcW w:w="1021" w:type="pct"/>
                  <w:tcBorders>
                    <w:tl2br w:val="nil"/>
                    <w:tr2bl w:val="nil"/>
                  </w:tcBorders>
                  <w:noWrap/>
                  <w:vAlign w:val="center"/>
                </w:tcPr>
                <w:p w14:paraId="75D4B2FF">
                  <w:pPr>
                    <w:autoSpaceDE w:val="0"/>
                    <w:autoSpaceDN w:val="0"/>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预测点</w:t>
                  </w:r>
                </w:p>
              </w:tc>
              <w:tc>
                <w:tcPr>
                  <w:tcW w:w="1160" w:type="pct"/>
                  <w:tcBorders>
                    <w:tl2br w:val="nil"/>
                    <w:tr2bl w:val="nil"/>
                  </w:tcBorders>
                  <w:noWrap/>
                  <w:vAlign w:val="center"/>
                </w:tcPr>
                <w:p w14:paraId="60158F5B">
                  <w:pPr>
                    <w:autoSpaceDE w:val="0"/>
                    <w:autoSpaceDN w:val="0"/>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与声源距离（m）</w:t>
                  </w:r>
                </w:p>
              </w:tc>
              <w:tc>
                <w:tcPr>
                  <w:tcW w:w="931" w:type="pct"/>
                  <w:tcBorders>
                    <w:tl2br w:val="nil"/>
                    <w:tr2bl w:val="nil"/>
                  </w:tcBorders>
                  <w:noWrap/>
                  <w:vAlign w:val="center"/>
                </w:tcPr>
                <w:p w14:paraId="25543779">
                  <w:pPr>
                    <w:autoSpaceDE w:val="0"/>
                    <w:autoSpaceDN w:val="0"/>
                    <w:adjustRightIn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贡献值dB(A)</w:t>
                  </w:r>
                </w:p>
              </w:tc>
            </w:tr>
            <w:tr w14:paraId="4A6A51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pct"/>
                  <w:vMerge w:val="restart"/>
                  <w:tcBorders>
                    <w:tl2br w:val="nil"/>
                    <w:tr2bl w:val="nil"/>
                  </w:tcBorders>
                  <w:noWrap/>
                  <w:vAlign w:val="center"/>
                </w:tcPr>
                <w:p w14:paraId="15BBB246">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生产车间</w:t>
                  </w:r>
                </w:p>
              </w:tc>
              <w:tc>
                <w:tcPr>
                  <w:tcW w:w="1133" w:type="pct"/>
                  <w:vMerge w:val="restart"/>
                  <w:tcBorders>
                    <w:tl2br w:val="nil"/>
                    <w:tr2bl w:val="nil"/>
                  </w:tcBorders>
                  <w:noWrap/>
                  <w:vAlign w:val="center"/>
                </w:tcPr>
                <w:p w14:paraId="2AFC0D75">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1021" w:type="pct"/>
                  <w:tcBorders>
                    <w:tl2br w:val="nil"/>
                    <w:tr2bl w:val="nil"/>
                  </w:tcBorders>
                  <w:noWrap/>
                  <w:vAlign w:val="center"/>
                </w:tcPr>
                <w:p w14:paraId="6C47ED7E">
                  <w:pPr>
                    <w:autoSpaceDE w:val="0"/>
                    <w:autoSpaceDN w:val="0"/>
                    <w:adjustRightIn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东</w:t>
                  </w:r>
                  <w:r>
                    <w:rPr>
                      <w:rFonts w:hint="default" w:ascii="Times New Roman" w:hAnsi="Times New Roman" w:cs="Times New Roman"/>
                      <w:color w:val="auto"/>
                      <w:sz w:val="21"/>
                      <w:szCs w:val="21"/>
                      <w:highlight w:val="none"/>
                    </w:rPr>
                    <w:t>面厂界</w:t>
                  </w:r>
                </w:p>
              </w:tc>
              <w:tc>
                <w:tcPr>
                  <w:tcW w:w="1160" w:type="pct"/>
                  <w:tcBorders>
                    <w:tl2br w:val="nil"/>
                    <w:tr2bl w:val="nil"/>
                  </w:tcBorders>
                  <w:noWrap/>
                  <w:vAlign w:val="center"/>
                </w:tcPr>
                <w:p w14:paraId="14E57C27">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931" w:type="pct"/>
                  <w:tcBorders>
                    <w:tl2br w:val="nil"/>
                    <w:tr2bl w:val="nil"/>
                  </w:tcBorders>
                  <w:noWrap/>
                  <w:vAlign w:val="center"/>
                </w:tcPr>
                <w:p w14:paraId="044EBF03">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r>
            <w:tr w14:paraId="1AE9CF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753" w:type="pct"/>
                  <w:vMerge w:val="continue"/>
                  <w:tcBorders>
                    <w:tl2br w:val="nil"/>
                    <w:tr2bl w:val="nil"/>
                  </w:tcBorders>
                  <w:noWrap/>
                  <w:vAlign w:val="center"/>
                </w:tcPr>
                <w:p w14:paraId="31596BF4">
                  <w:pPr>
                    <w:autoSpaceDE w:val="0"/>
                    <w:autoSpaceDN w:val="0"/>
                    <w:adjustRightInd w:val="0"/>
                    <w:jc w:val="center"/>
                    <w:rPr>
                      <w:rFonts w:hint="default" w:ascii="Times New Roman" w:hAnsi="Times New Roman" w:cs="Times New Roman"/>
                      <w:color w:val="auto"/>
                      <w:sz w:val="21"/>
                      <w:szCs w:val="21"/>
                      <w:highlight w:val="none"/>
                    </w:rPr>
                  </w:pPr>
                </w:p>
              </w:tc>
              <w:tc>
                <w:tcPr>
                  <w:tcW w:w="1133" w:type="pct"/>
                  <w:vMerge w:val="continue"/>
                  <w:tcBorders>
                    <w:tl2br w:val="nil"/>
                    <w:tr2bl w:val="nil"/>
                  </w:tcBorders>
                  <w:noWrap/>
                  <w:vAlign w:val="center"/>
                </w:tcPr>
                <w:p w14:paraId="4E419E04">
                  <w:pPr>
                    <w:autoSpaceDE w:val="0"/>
                    <w:autoSpaceDN w:val="0"/>
                    <w:adjustRightInd w:val="0"/>
                    <w:jc w:val="center"/>
                    <w:rPr>
                      <w:rFonts w:hint="default" w:ascii="Times New Roman" w:hAnsi="Times New Roman" w:cs="Times New Roman"/>
                      <w:color w:val="auto"/>
                      <w:sz w:val="21"/>
                      <w:szCs w:val="21"/>
                      <w:highlight w:val="none"/>
                    </w:rPr>
                  </w:pPr>
                </w:p>
              </w:tc>
              <w:tc>
                <w:tcPr>
                  <w:tcW w:w="1021" w:type="pct"/>
                  <w:tcBorders>
                    <w:tl2br w:val="nil"/>
                    <w:tr2bl w:val="nil"/>
                  </w:tcBorders>
                  <w:noWrap/>
                  <w:vAlign w:val="center"/>
                </w:tcPr>
                <w:p w14:paraId="6FDF960B">
                  <w:pPr>
                    <w:autoSpaceDE w:val="0"/>
                    <w:autoSpaceDN w:val="0"/>
                    <w:adjustRightIn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西</w:t>
                  </w:r>
                  <w:r>
                    <w:rPr>
                      <w:rFonts w:hint="default" w:ascii="Times New Roman" w:hAnsi="Times New Roman" w:cs="Times New Roman"/>
                      <w:color w:val="auto"/>
                      <w:sz w:val="21"/>
                      <w:szCs w:val="21"/>
                      <w:highlight w:val="none"/>
                    </w:rPr>
                    <w:t>面厂界</w:t>
                  </w:r>
                </w:p>
              </w:tc>
              <w:tc>
                <w:tcPr>
                  <w:tcW w:w="1160" w:type="pct"/>
                  <w:tcBorders>
                    <w:tl2br w:val="nil"/>
                    <w:tr2bl w:val="nil"/>
                  </w:tcBorders>
                  <w:noWrap/>
                  <w:vAlign w:val="center"/>
                </w:tcPr>
                <w:p w14:paraId="731F5FF8">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931" w:type="pct"/>
                  <w:tcBorders>
                    <w:tl2br w:val="nil"/>
                    <w:tr2bl w:val="nil"/>
                  </w:tcBorders>
                  <w:noWrap/>
                  <w:vAlign w:val="center"/>
                </w:tcPr>
                <w:p w14:paraId="0E23DC78">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w:t>
                  </w:r>
                </w:p>
              </w:tc>
            </w:tr>
            <w:tr w14:paraId="505FAA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53" w:type="pct"/>
                  <w:vMerge w:val="continue"/>
                  <w:tcBorders>
                    <w:tl2br w:val="nil"/>
                    <w:tr2bl w:val="nil"/>
                  </w:tcBorders>
                  <w:noWrap/>
                  <w:vAlign w:val="center"/>
                </w:tcPr>
                <w:p w14:paraId="505B6E55">
                  <w:pPr>
                    <w:autoSpaceDE w:val="0"/>
                    <w:autoSpaceDN w:val="0"/>
                    <w:adjustRightInd w:val="0"/>
                    <w:jc w:val="center"/>
                    <w:rPr>
                      <w:rFonts w:hint="default" w:ascii="Times New Roman" w:hAnsi="Times New Roman" w:cs="Times New Roman"/>
                      <w:color w:val="auto"/>
                      <w:sz w:val="21"/>
                      <w:szCs w:val="21"/>
                      <w:highlight w:val="none"/>
                    </w:rPr>
                  </w:pPr>
                </w:p>
              </w:tc>
              <w:tc>
                <w:tcPr>
                  <w:tcW w:w="1133" w:type="pct"/>
                  <w:vMerge w:val="continue"/>
                  <w:tcBorders>
                    <w:tl2br w:val="nil"/>
                    <w:tr2bl w:val="nil"/>
                  </w:tcBorders>
                  <w:noWrap/>
                  <w:vAlign w:val="center"/>
                </w:tcPr>
                <w:p w14:paraId="6BA3028D">
                  <w:pPr>
                    <w:autoSpaceDE w:val="0"/>
                    <w:autoSpaceDN w:val="0"/>
                    <w:adjustRightInd w:val="0"/>
                    <w:jc w:val="center"/>
                    <w:rPr>
                      <w:rFonts w:hint="default" w:ascii="Times New Roman" w:hAnsi="Times New Roman" w:cs="Times New Roman"/>
                      <w:color w:val="auto"/>
                      <w:sz w:val="21"/>
                      <w:szCs w:val="21"/>
                      <w:highlight w:val="none"/>
                    </w:rPr>
                  </w:pPr>
                </w:p>
              </w:tc>
              <w:tc>
                <w:tcPr>
                  <w:tcW w:w="1021" w:type="pct"/>
                  <w:tcBorders>
                    <w:tl2br w:val="nil"/>
                    <w:tr2bl w:val="nil"/>
                  </w:tcBorders>
                  <w:noWrap/>
                  <w:vAlign w:val="center"/>
                </w:tcPr>
                <w:p w14:paraId="6713B992">
                  <w:pPr>
                    <w:autoSpaceDE w:val="0"/>
                    <w:autoSpaceDN w:val="0"/>
                    <w:adjustRightInd w:val="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南面厂界</w:t>
                  </w:r>
                </w:p>
              </w:tc>
              <w:tc>
                <w:tcPr>
                  <w:tcW w:w="1160" w:type="pct"/>
                  <w:tcBorders>
                    <w:tl2br w:val="nil"/>
                    <w:tr2bl w:val="nil"/>
                  </w:tcBorders>
                  <w:noWrap/>
                  <w:vAlign w:val="center"/>
                </w:tcPr>
                <w:p w14:paraId="346610BF">
                  <w:pPr>
                    <w:autoSpaceDE w:val="0"/>
                    <w:autoSpaceDN w:val="0"/>
                    <w:adjustRightIn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931" w:type="pct"/>
                  <w:tcBorders>
                    <w:tl2br w:val="nil"/>
                    <w:tr2bl w:val="nil"/>
                  </w:tcBorders>
                  <w:noWrap/>
                  <w:vAlign w:val="center"/>
                </w:tcPr>
                <w:p w14:paraId="34DE531C">
                  <w:pPr>
                    <w:autoSpaceDE w:val="0"/>
                    <w:autoSpaceDN w:val="0"/>
                    <w:adjustRightIn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r>
            <w:tr w14:paraId="1B2C37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pct"/>
                  <w:vMerge w:val="continue"/>
                  <w:tcBorders>
                    <w:tl2br w:val="nil"/>
                    <w:tr2bl w:val="nil"/>
                  </w:tcBorders>
                  <w:noWrap/>
                  <w:vAlign w:val="center"/>
                </w:tcPr>
                <w:p w14:paraId="6507FDCC">
                  <w:pPr>
                    <w:autoSpaceDE w:val="0"/>
                    <w:autoSpaceDN w:val="0"/>
                    <w:adjustRightInd w:val="0"/>
                    <w:jc w:val="center"/>
                    <w:rPr>
                      <w:rFonts w:hint="default" w:ascii="Times New Roman" w:hAnsi="Times New Roman" w:cs="Times New Roman"/>
                      <w:color w:val="auto"/>
                      <w:sz w:val="21"/>
                      <w:szCs w:val="21"/>
                      <w:highlight w:val="none"/>
                    </w:rPr>
                  </w:pPr>
                </w:p>
              </w:tc>
              <w:tc>
                <w:tcPr>
                  <w:tcW w:w="1133" w:type="pct"/>
                  <w:vMerge w:val="continue"/>
                  <w:tcBorders>
                    <w:tl2br w:val="nil"/>
                    <w:tr2bl w:val="nil"/>
                  </w:tcBorders>
                  <w:noWrap/>
                  <w:vAlign w:val="center"/>
                </w:tcPr>
                <w:p w14:paraId="199BEB11">
                  <w:pPr>
                    <w:autoSpaceDE w:val="0"/>
                    <w:autoSpaceDN w:val="0"/>
                    <w:adjustRightInd w:val="0"/>
                    <w:jc w:val="center"/>
                    <w:rPr>
                      <w:rFonts w:hint="default" w:ascii="Times New Roman" w:hAnsi="Times New Roman" w:cs="Times New Roman"/>
                      <w:color w:val="auto"/>
                      <w:sz w:val="21"/>
                      <w:szCs w:val="21"/>
                      <w:highlight w:val="none"/>
                    </w:rPr>
                  </w:pPr>
                </w:p>
              </w:tc>
              <w:tc>
                <w:tcPr>
                  <w:tcW w:w="1021" w:type="pct"/>
                  <w:tcBorders>
                    <w:tl2br w:val="nil"/>
                    <w:tr2bl w:val="nil"/>
                  </w:tcBorders>
                  <w:noWrap/>
                  <w:vAlign w:val="center"/>
                </w:tcPr>
                <w:p w14:paraId="317F99A4">
                  <w:pPr>
                    <w:autoSpaceDE w:val="0"/>
                    <w:autoSpaceDN w:val="0"/>
                    <w:adjustRightInd w:val="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北面厂界</w:t>
                  </w:r>
                </w:p>
              </w:tc>
              <w:tc>
                <w:tcPr>
                  <w:tcW w:w="1160" w:type="pct"/>
                  <w:tcBorders>
                    <w:tl2br w:val="nil"/>
                    <w:tr2bl w:val="nil"/>
                  </w:tcBorders>
                  <w:noWrap/>
                  <w:vAlign w:val="center"/>
                </w:tcPr>
                <w:p w14:paraId="7AC6F863">
                  <w:pPr>
                    <w:autoSpaceDE w:val="0"/>
                    <w:autoSpaceDN w:val="0"/>
                    <w:adjustRightIn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931" w:type="pct"/>
                  <w:tcBorders>
                    <w:tl2br w:val="nil"/>
                    <w:tr2bl w:val="nil"/>
                  </w:tcBorders>
                  <w:noWrap/>
                  <w:vAlign w:val="center"/>
                </w:tcPr>
                <w:p w14:paraId="0C66563B">
                  <w:pPr>
                    <w:autoSpaceDE w:val="0"/>
                    <w:autoSpaceDN w:val="0"/>
                    <w:adjustRightIn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54</w:t>
                  </w:r>
                </w:p>
              </w:tc>
            </w:tr>
          </w:tbl>
          <w:p w14:paraId="74294002">
            <w:pPr>
              <w:pStyle w:val="29"/>
              <w:pageBreakBefore w:val="0"/>
              <w:widowControl w:val="0"/>
              <w:numPr>
                <w:ilvl w:val="0"/>
                <w:numId w:val="0"/>
              </w:numPr>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由上表可知本</w:t>
            </w:r>
            <w:r>
              <w:rPr>
                <w:rFonts w:hint="default" w:ascii="Times New Roman" w:hAnsi="Times New Roman" w:eastAsia="宋体" w:cs="Times New Roman"/>
                <w:color w:val="auto"/>
                <w:kern w:val="2"/>
                <w:sz w:val="24"/>
                <w:szCs w:val="24"/>
                <w:highlight w:val="none"/>
                <w:lang w:val="en-US" w:eastAsia="zh-CN" w:bidi="ar-SA"/>
              </w:rPr>
              <w:t>项目</w:t>
            </w:r>
            <w:r>
              <w:rPr>
                <w:rFonts w:hint="eastAsia" w:ascii="Times New Roman" w:hAnsi="Times New Roman" w:eastAsia="宋体" w:cs="Times New Roman"/>
                <w:color w:val="auto"/>
                <w:kern w:val="2"/>
                <w:sz w:val="24"/>
                <w:szCs w:val="24"/>
                <w:highlight w:val="none"/>
                <w:lang w:val="en-US" w:eastAsia="zh-CN" w:bidi="ar-SA"/>
              </w:rPr>
              <w:t>实施后</w:t>
            </w:r>
            <w:r>
              <w:rPr>
                <w:rFonts w:hint="default" w:ascii="Times New Roman" w:hAnsi="Times New Roman" w:eastAsia="宋体" w:cs="Times New Roman"/>
                <w:color w:val="auto"/>
                <w:kern w:val="2"/>
                <w:sz w:val="24"/>
                <w:szCs w:val="24"/>
                <w:highlight w:val="none"/>
                <w:lang w:val="en-US" w:eastAsia="zh-CN" w:bidi="ar-SA"/>
              </w:rPr>
              <w:t>厂界噪声符合《工业企业厂界环境噪声排放标准》</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GB12348-2008</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中</w:t>
            </w:r>
            <w:r>
              <w:rPr>
                <w:rFonts w:hint="default" w:ascii="Times New Roman" w:hAnsi="Times New Roman"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类标准</w:t>
            </w:r>
            <w:r>
              <w:rPr>
                <w:rFonts w:hint="eastAsia" w:ascii="Times New Roman" w:hAnsi="Times New Roman" w:eastAsia="宋体" w:cs="Times New Roman"/>
                <w:color w:val="auto"/>
                <w:kern w:val="2"/>
                <w:sz w:val="24"/>
                <w:szCs w:val="24"/>
                <w:highlight w:val="none"/>
                <w:lang w:val="en-US" w:eastAsia="zh-CN" w:bidi="ar-SA"/>
              </w:rPr>
              <w:t>：昼间65dB（A）、夜间55dB（A）</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cs="Times New Roman"/>
                <w:color w:val="auto"/>
                <w:sz w:val="24"/>
                <w:szCs w:val="21"/>
                <w:highlight w:val="none"/>
              </w:rPr>
              <w:t>项目运营期产生的噪声对周围声环境影响不大。</w:t>
            </w:r>
            <w:r>
              <w:rPr>
                <w:rFonts w:hint="default" w:ascii="Times New Roman" w:hAnsi="Times New Roman" w:eastAsia="宋体" w:cs="Times New Roman"/>
                <w:color w:val="auto"/>
                <w:sz w:val="24"/>
                <w:highlight w:val="none"/>
              </w:rPr>
              <w:t>环评要求建设单位加强噪声污染的防治，</w:t>
            </w:r>
            <w:r>
              <w:rPr>
                <w:rFonts w:hint="default" w:ascii="Times New Roman" w:hAnsi="Times New Roman" w:eastAsia="宋体" w:cs="Times New Roman"/>
                <w:color w:val="auto"/>
                <w:kern w:val="0"/>
                <w:sz w:val="24"/>
                <w:highlight w:val="none"/>
              </w:rPr>
              <w:t>设备的选型尽可能选用噪声低、振动</w:t>
            </w:r>
            <w:r>
              <w:rPr>
                <w:rFonts w:hint="default" w:ascii="Times New Roman" w:hAnsi="Times New Roman" w:eastAsia="宋体" w:cs="Times New Roman"/>
                <w:color w:val="auto"/>
                <w:kern w:val="2"/>
                <w:sz w:val="24"/>
                <w:szCs w:val="24"/>
                <w:highlight w:val="none"/>
                <w:lang w:val="en-US" w:eastAsia="zh-CN" w:bidi="ar-SA"/>
              </w:rPr>
              <w:t>小的设备，做基础减振处理，对强噪声设备在支架下面安装橡胶减振设施，进一步降低噪声对周围环境影响。</w:t>
            </w:r>
          </w:p>
          <w:p w14:paraId="457C077C">
            <w:pPr>
              <w:pStyle w:val="11"/>
              <w:pageBreakBefore w:val="0"/>
              <w:widowControl w:val="0"/>
              <w:kinsoku/>
              <w:wordWrap/>
              <w:overflowPunct/>
              <w:topLinePunct w:val="0"/>
              <w:autoSpaceDE/>
              <w:autoSpaceDN/>
              <w:bidi w:val="0"/>
              <w:adjustRightInd w:val="0"/>
              <w:snapToGrid w:val="0"/>
              <w:spacing w:beforeLines="0" w:afterLines="0"/>
              <w:ind w:right="0" w:firstLine="480" w:firstLineChars="200"/>
              <w:textAlignment w:val="auto"/>
              <w:rPr>
                <w:rFonts w:hint="default" w:ascii="Times New Roman" w:hAnsi="Times New Roman" w:eastAsia="宋体" w:cs="Times New Roman"/>
                <w:b w:val="0"/>
                <w:color w:val="auto"/>
                <w:kern w:val="0"/>
                <w:sz w:val="24"/>
                <w:szCs w:val="22"/>
                <w:highlight w:val="none"/>
                <w:lang w:val="en-US" w:eastAsia="zh-CN" w:bidi="ar-SA"/>
              </w:rPr>
            </w:pPr>
            <w:r>
              <w:rPr>
                <w:rFonts w:hint="default" w:ascii="Times New Roman" w:hAnsi="Times New Roman" w:eastAsia="宋体" w:cs="Times New Roman"/>
                <w:b w:val="0"/>
                <w:color w:val="auto"/>
                <w:kern w:val="0"/>
                <w:sz w:val="24"/>
                <w:szCs w:val="22"/>
                <w:highlight w:val="none"/>
                <w:lang w:val="en-US" w:eastAsia="zh-CN" w:bidi="ar-SA"/>
              </w:rPr>
              <w:t>4.2.</w:t>
            </w:r>
            <w:r>
              <w:rPr>
                <w:rFonts w:hint="eastAsia" w:cs="Times New Roman"/>
                <w:b w:val="0"/>
                <w:color w:val="auto"/>
                <w:kern w:val="0"/>
                <w:sz w:val="24"/>
                <w:szCs w:val="22"/>
                <w:highlight w:val="none"/>
                <w:lang w:val="en-US" w:eastAsia="zh-CN" w:bidi="ar-SA"/>
              </w:rPr>
              <w:t>4</w:t>
            </w:r>
            <w:r>
              <w:rPr>
                <w:rFonts w:hint="default" w:ascii="Times New Roman" w:hAnsi="Times New Roman" w:eastAsia="宋体" w:cs="Times New Roman"/>
                <w:b w:val="0"/>
                <w:color w:val="auto"/>
                <w:kern w:val="0"/>
                <w:sz w:val="24"/>
                <w:szCs w:val="22"/>
                <w:highlight w:val="none"/>
                <w:lang w:val="en-US" w:eastAsia="zh-CN" w:bidi="ar-SA"/>
              </w:rPr>
              <w:t>固体废物</w:t>
            </w:r>
          </w:p>
          <w:p w14:paraId="75D54A65">
            <w:pPr>
              <w:pStyle w:val="29"/>
              <w:pageBreakBefore w:val="0"/>
              <w:widowControl w:val="0"/>
              <w:kinsoku/>
              <w:wordWrap/>
              <w:overflowPunct/>
              <w:topLinePunct w:val="0"/>
              <w:autoSpaceDE/>
              <w:autoSpaceDN/>
              <w:bidi w:val="0"/>
              <w:adjustRightInd w:val="0"/>
              <w:snapToGrid w:val="0"/>
              <w:spacing w:before="0" w:after="0"/>
              <w:ind w:left="0" w:leftChars="0" w:right="0" w:firstLine="480" w:firstLineChars="200"/>
              <w:textAlignment w:val="auto"/>
              <w:rPr>
                <w:rFonts w:hint="default" w:cs="Times New Roman"/>
                <w:color w:val="auto"/>
                <w:highlight w:val="none"/>
                <w:lang w:val="en-US" w:eastAsia="zh-CN"/>
              </w:rPr>
            </w:pPr>
            <w:r>
              <w:rPr>
                <w:rFonts w:hint="eastAsia" w:cs="Times New Roman"/>
                <w:color w:val="auto"/>
                <w:highlight w:val="none"/>
                <w:lang w:val="en-US" w:eastAsia="zh-CN"/>
              </w:rPr>
              <w:t>本项目固体废物主要为钢瓶气密性检测过程中产生的废钢瓶，设备维护过程中产生的废机油，以及员工生活垃圾。</w:t>
            </w:r>
          </w:p>
          <w:p w14:paraId="2ADA04F2">
            <w:pPr>
              <w:pStyle w:val="29"/>
              <w:pageBreakBefore w:val="0"/>
              <w:widowControl w:val="0"/>
              <w:kinsoku/>
              <w:wordWrap/>
              <w:overflowPunct/>
              <w:topLinePunct w:val="0"/>
              <w:autoSpaceDE/>
              <w:autoSpaceDN/>
              <w:bidi w:val="0"/>
              <w:adjustRightInd w:val="0"/>
              <w:snapToGrid w:val="0"/>
              <w:spacing w:before="0" w:after="0"/>
              <w:ind w:left="0" w:leftChars="0" w:right="0" w:firstLine="480" w:firstLineChars="200"/>
              <w:textAlignment w:val="auto"/>
              <w:rPr>
                <w:rFonts w:hint="default" w:ascii="Times New Roman" w:hAnsi="Times New Roman" w:eastAsia="宋体" w:cs="Times New Roman"/>
                <w:b w:val="0"/>
                <w:color w:val="auto"/>
                <w:kern w:val="0"/>
                <w:sz w:val="24"/>
                <w:szCs w:val="22"/>
                <w:highlight w:val="none"/>
                <w:lang w:val="en-US" w:eastAsia="zh-CN" w:bidi="ar-SA"/>
              </w:rPr>
            </w:pPr>
            <w:r>
              <w:rPr>
                <w:rFonts w:hint="eastAsia" w:ascii="Times New Roman" w:hAnsi="Times New Roman" w:eastAsia="宋体" w:cs="Times New Roman"/>
                <w:b w:val="0"/>
                <w:color w:val="auto"/>
                <w:kern w:val="0"/>
                <w:sz w:val="24"/>
                <w:szCs w:val="22"/>
                <w:highlight w:val="none"/>
                <w:lang w:val="en-US" w:eastAsia="zh-CN" w:bidi="ar-SA"/>
              </w:rPr>
              <w:t>（1）废钢瓶</w:t>
            </w:r>
          </w:p>
          <w:p w14:paraId="0BF0EA7E">
            <w:pPr>
              <w:pStyle w:val="29"/>
              <w:pageBreakBefore w:val="0"/>
              <w:widowControl w:val="0"/>
              <w:kinsoku/>
              <w:wordWrap/>
              <w:overflowPunct/>
              <w:topLinePunct w:val="0"/>
              <w:autoSpaceDE/>
              <w:autoSpaceDN/>
              <w:bidi w:val="0"/>
              <w:adjustRightInd w:val="0"/>
              <w:snapToGrid w:val="0"/>
              <w:spacing w:before="0" w:after="0"/>
              <w:ind w:left="0" w:leftChars="0" w:right="0" w:firstLine="480" w:firstLineChars="200"/>
              <w:textAlignment w:val="auto"/>
              <w:rPr>
                <w:rFonts w:hint="eastAsia" w:ascii="Times New Roman" w:hAnsi="Times New Roman" w:eastAsia="宋体" w:cs="Times New Roman"/>
                <w:b w:val="0"/>
                <w:color w:val="auto"/>
                <w:kern w:val="0"/>
                <w:sz w:val="24"/>
                <w:szCs w:val="22"/>
                <w:highlight w:val="none"/>
                <w:lang w:val="en-US" w:eastAsia="zh-CN" w:bidi="ar-SA"/>
              </w:rPr>
            </w:pPr>
            <w:r>
              <w:rPr>
                <w:rFonts w:hint="eastAsia"/>
                <w:bCs/>
                <w:sz w:val="24"/>
              </w:rPr>
              <w:t>项目气体在充装前，需对气瓶进行</w:t>
            </w:r>
            <w:r>
              <w:rPr>
                <w:rFonts w:hint="eastAsia"/>
                <w:bCs/>
                <w:sz w:val="24"/>
                <w:lang w:val="en-US" w:eastAsia="zh-CN"/>
              </w:rPr>
              <w:t>气密性</w:t>
            </w:r>
            <w:r>
              <w:rPr>
                <w:rFonts w:hint="eastAsia"/>
                <w:bCs/>
                <w:sz w:val="24"/>
              </w:rPr>
              <w:t>检验，以排除安全隐患</w:t>
            </w:r>
            <w:r>
              <w:rPr>
                <w:rFonts w:hint="eastAsia"/>
                <w:bCs/>
                <w:sz w:val="24"/>
                <w:lang w:eastAsia="zh-CN"/>
              </w:rPr>
              <w:t>，</w:t>
            </w:r>
            <w:r>
              <w:rPr>
                <w:rFonts w:hint="eastAsia"/>
                <w:bCs/>
                <w:sz w:val="24"/>
                <w:lang w:val="en-US" w:eastAsia="zh-CN"/>
              </w:rPr>
              <w:t>检验过程中会产检测不合格的废钢瓶，</w:t>
            </w:r>
            <w:r>
              <w:rPr>
                <w:rFonts w:hint="default" w:ascii="Times New Roman" w:hAnsi="Times New Roman" w:cs="Times New Roman"/>
                <w:bCs/>
                <w:sz w:val="24"/>
                <w:lang w:val="en-US" w:eastAsia="zh-CN"/>
              </w:rPr>
              <w:t>本项目在一氧化二氮充装车间西侧设置废钢瓶暂存区一处，占地面积15m</w:t>
            </w:r>
            <w:r>
              <w:rPr>
                <w:rFonts w:hint="default" w:ascii="Times New Roman" w:hAnsi="Times New Roman" w:cs="Times New Roman"/>
                <w:bCs/>
                <w:sz w:val="24"/>
                <w:vertAlign w:val="superscript"/>
                <w:lang w:val="en-US" w:eastAsia="zh-CN"/>
              </w:rPr>
              <w:t>2</w:t>
            </w:r>
            <w:r>
              <w:rPr>
                <w:rFonts w:hint="default" w:ascii="Times New Roman" w:hAnsi="Times New Roman" w:cs="Times New Roman"/>
                <w:bCs/>
                <w:sz w:val="24"/>
                <w:lang w:val="en-US" w:eastAsia="zh-CN"/>
              </w:rPr>
              <w:t>，</w:t>
            </w:r>
            <w:r>
              <w:rPr>
                <w:rFonts w:hint="eastAsia" w:cs="宋体"/>
                <w:bCs/>
                <w:sz w:val="24"/>
                <w:lang w:val="en-US" w:eastAsia="zh-CN"/>
              </w:rPr>
              <w:t>废</w:t>
            </w:r>
            <w:r>
              <w:rPr>
                <w:rFonts w:hint="eastAsia"/>
                <w:bCs/>
                <w:sz w:val="24"/>
                <w:lang w:val="en-US" w:eastAsia="zh-CN"/>
              </w:rPr>
              <w:t>钢瓶</w:t>
            </w:r>
            <w:r>
              <w:rPr>
                <w:rFonts w:hint="eastAsia" w:ascii="Times New Roman" w:hAnsi="Times New Roman" w:eastAsia="宋体" w:cs="Times New Roman"/>
                <w:b w:val="0"/>
                <w:color w:val="auto"/>
                <w:kern w:val="0"/>
                <w:sz w:val="24"/>
                <w:szCs w:val="22"/>
                <w:highlight w:val="none"/>
                <w:lang w:val="en-US" w:eastAsia="zh-CN" w:bidi="ar-SA"/>
              </w:rPr>
              <w:t>产生量约0.2t/a，对照《固体废物分类与代码目录》废布袋为SW17可再生类废物：900-099-S17其他可再生类废物。统一收集后，经废钢瓶暂存区暂存后，由供应厂家回收，综合利用。</w:t>
            </w:r>
          </w:p>
          <w:p w14:paraId="0539F233">
            <w:pPr>
              <w:pStyle w:val="29"/>
              <w:keepNext w:val="0"/>
              <w:keepLines w:val="0"/>
              <w:pageBreakBefore w:val="0"/>
              <w:widowControl w:val="0"/>
              <w:kinsoku/>
              <w:wordWrap/>
              <w:overflowPunct/>
              <w:topLinePunct w:val="0"/>
              <w:autoSpaceDE/>
              <w:autoSpaceDN/>
              <w:bidi w:val="0"/>
              <w:adjustRightInd w:val="0"/>
              <w:snapToGrid w:val="0"/>
              <w:spacing w:before="0" w:after="0"/>
              <w:ind w:left="0" w:leftChars="0" w:right="0" w:firstLine="480" w:firstLineChars="200"/>
              <w:textAlignment w:val="auto"/>
              <w:rPr>
                <w:rFonts w:hint="default" w:ascii="Times New Roman" w:hAnsi="Times New Roman" w:eastAsia="宋体" w:cs="Times New Roman"/>
                <w:b w:val="0"/>
                <w:color w:val="auto"/>
                <w:kern w:val="0"/>
                <w:sz w:val="24"/>
                <w:szCs w:val="22"/>
                <w:highlight w:val="none"/>
                <w:lang w:val="en-US" w:eastAsia="zh-CN" w:bidi="ar-SA"/>
              </w:rPr>
            </w:pPr>
            <w:r>
              <w:rPr>
                <w:rFonts w:hint="eastAsia" w:ascii="Times New Roman" w:hAnsi="Times New Roman" w:eastAsia="宋体" w:cs="Times New Roman"/>
                <w:b w:val="0"/>
                <w:color w:val="auto"/>
                <w:kern w:val="0"/>
                <w:sz w:val="24"/>
                <w:szCs w:val="22"/>
                <w:highlight w:val="none"/>
                <w:lang w:val="en-US" w:eastAsia="zh-CN" w:bidi="ar-SA"/>
              </w:rPr>
              <w:t>（2）废机油</w:t>
            </w:r>
          </w:p>
          <w:p w14:paraId="0A3E4E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本项目运行过程中产生的危险危废主要为</w:t>
            </w:r>
            <w:r>
              <w:rPr>
                <w:rFonts w:hint="default" w:ascii="Times New Roman" w:hAnsi="Times New Roman" w:eastAsia="宋体" w:cs="Times New Roman"/>
                <w:color w:val="000000"/>
                <w:kern w:val="2"/>
                <w:sz w:val="24"/>
                <w:szCs w:val="24"/>
                <w:highlight w:val="none"/>
                <w:lang w:val="en-US" w:eastAsia="zh-CN" w:bidi="ar-SA"/>
              </w:rPr>
              <w:t>机械设备在日常维护维修过程中会产生</w:t>
            </w:r>
            <w:r>
              <w:rPr>
                <w:rFonts w:hint="default" w:ascii="Times New Roman" w:hAnsi="Times New Roman" w:cs="Times New Roman"/>
                <w:color w:val="000000"/>
                <w:sz w:val="24"/>
                <w:szCs w:val="24"/>
                <w:highlight w:val="none"/>
                <w:lang w:val="en-US" w:eastAsia="zh-CN"/>
              </w:rPr>
              <w:t>废机油</w:t>
            </w:r>
            <w:r>
              <w:rPr>
                <w:rFonts w:hint="default" w:ascii="Times New Roman" w:hAnsi="Times New Roman" w:eastAsia="宋体" w:cs="Times New Roman"/>
                <w:color w:val="000000"/>
                <w:kern w:val="2"/>
                <w:sz w:val="24"/>
                <w:szCs w:val="24"/>
                <w:highlight w:val="none"/>
                <w:lang w:val="en-US" w:eastAsia="zh-CN" w:bidi="ar-SA"/>
              </w:rPr>
              <w:t>，产生量为0.1t/a</w:t>
            </w:r>
            <w:r>
              <w:rPr>
                <w:rFonts w:hint="eastAsia" w:ascii="Times New Roman" w:hAnsi="Times New Roman" w:eastAsia="宋体" w:cs="Times New Roman"/>
                <w:color w:val="000000"/>
                <w:kern w:val="2"/>
                <w:sz w:val="24"/>
                <w:szCs w:val="24"/>
                <w:highlight w:val="none"/>
                <w:lang w:val="en-US" w:eastAsia="zh-CN" w:bidi="ar-SA"/>
              </w:rPr>
              <w:t>，根据</w:t>
            </w:r>
            <w:r>
              <w:rPr>
                <w:rFonts w:hint="default" w:ascii="Times New Roman" w:hAnsi="Times New Roman" w:eastAsia="宋体" w:cs="Times New Roman"/>
                <w:color w:val="000000"/>
                <w:kern w:val="2"/>
                <w:sz w:val="24"/>
                <w:szCs w:val="24"/>
                <w:highlight w:val="none"/>
                <w:lang w:val="en-US" w:eastAsia="zh-CN" w:bidi="ar-SA"/>
              </w:rPr>
              <w:t>《国家危险废物名录（202</w:t>
            </w:r>
            <w:r>
              <w:rPr>
                <w:rFonts w:hint="eastAsia" w:ascii="Times New Roman" w:hAnsi="Times New Roman" w:eastAsia="宋体" w:cs="Times New Roman"/>
                <w:color w:val="000000"/>
                <w:kern w:val="2"/>
                <w:sz w:val="24"/>
                <w:szCs w:val="24"/>
                <w:highlight w:val="none"/>
                <w:lang w:val="en-US" w:eastAsia="zh-CN" w:bidi="ar-SA"/>
              </w:rPr>
              <w:t>5</w:t>
            </w:r>
            <w:r>
              <w:rPr>
                <w:rFonts w:hint="eastAsia" w:ascii="Times New Roman" w:hAnsi="Times New Roman" w:cs="Times New Roman"/>
                <w:color w:val="000000"/>
                <w:kern w:val="2"/>
                <w:sz w:val="24"/>
                <w:szCs w:val="24"/>
                <w:highlight w:val="none"/>
                <w:lang w:val="en-US" w:eastAsia="zh-CN" w:bidi="ar-SA"/>
              </w:rPr>
              <w:t>年版</w:t>
            </w:r>
            <w:r>
              <w:rPr>
                <w:rFonts w:hint="default"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2"/>
                <w:sz w:val="24"/>
                <w:szCs w:val="24"/>
                <w:highlight w:val="none"/>
                <w:lang w:val="en-US" w:eastAsia="zh-CN" w:bidi="ar-SA"/>
              </w:rPr>
              <w:t>该类属于</w:t>
            </w:r>
            <w:r>
              <w:rPr>
                <w:rFonts w:hint="default" w:ascii="Times New Roman" w:hAnsi="Times New Roman" w:eastAsia="宋体" w:cs="Times New Roman"/>
                <w:color w:val="000000"/>
                <w:kern w:val="2"/>
                <w:sz w:val="24"/>
                <w:szCs w:val="24"/>
                <w:highlight w:val="none"/>
                <w:lang w:val="en-US" w:eastAsia="zh-CN" w:bidi="ar-SA"/>
              </w:rPr>
              <w:t>废物类别“HW08废矿物油与含矿物油废物”</w:t>
            </w:r>
            <w:r>
              <w:rPr>
                <w:rFonts w:hint="eastAsia" w:ascii="Times New Roman" w:hAnsi="Times New Roman" w:eastAsia="宋体" w:cs="Times New Roman"/>
                <w:color w:val="000000"/>
                <w:kern w:val="2"/>
                <w:sz w:val="24"/>
                <w:szCs w:val="24"/>
                <w:highlight w:val="none"/>
                <w:lang w:val="en-US" w:eastAsia="zh-CN" w:bidi="ar-SA"/>
              </w:rPr>
              <w:t>的危险废物</w:t>
            </w:r>
            <w:r>
              <w:rPr>
                <w:rFonts w:hint="default" w:ascii="Times New Roman" w:hAnsi="Times New Roman" w:eastAsia="宋体" w:cs="Times New Roman"/>
                <w:color w:val="000000"/>
                <w:kern w:val="2"/>
                <w:sz w:val="24"/>
                <w:szCs w:val="24"/>
                <w:highlight w:val="none"/>
                <w:lang w:val="en-US" w:eastAsia="zh-CN" w:bidi="ar-SA"/>
              </w:rPr>
              <w:t>。本项目</w:t>
            </w:r>
            <w:r>
              <w:rPr>
                <w:rFonts w:hint="eastAsia" w:ascii="Times New Roman" w:hAnsi="Times New Roman" w:eastAsia="宋体" w:cs="Times New Roman"/>
                <w:color w:val="000000"/>
                <w:kern w:val="2"/>
                <w:sz w:val="24"/>
                <w:szCs w:val="24"/>
                <w:highlight w:val="none"/>
                <w:lang w:val="en-US" w:eastAsia="zh-CN" w:bidi="ar-SA"/>
              </w:rPr>
              <w:t>危险废物</w:t>
            </w:r>
            <w:r>
              <w:rPr>
                <w:rFonts w:hint="default" w:ascii="Times New Roman" w:hAnsi="Times New Roman" w:eastAsia="宋体" w:cs="Times New Roman"/>
                <w:color w:val="000000"/>
                <w:kern w:val="2"/>
                <w:sz w:val="24"/>
                <w:szCs w:val="24"/>
                <w:highlight w:val="none"/>
                <w:lang w:val="en-US" w:eastAsia="zh-CN" w:bidi="ar-SA"/>
              </w:rPr>
              <w:t>产生情况如下表所示。</w:t>
            </w:r>
          </w:p>
          <w:p w14:paraId="546FC623">
            <w:pPr>
              <w:pageBreakBefore w:val="0"/>
              <w:kinsoku/>
              <w:overflowPunct/>
              <w:bidi w:val="0"/>
              <w:adjustRightInd w:val="0"/>
              <w:snapToGrid w:val="0"/>
              <w:spacing w:line="240" w:lineRule="auto"/>
              <w:ind w:left="0" w:leftChars="0" w:right="0"/>
              <w:jc w:val="center"/>
              <w:rPr>
                <w:rFonts w:hint="default" w:ascii="Times New Roman" w:hAnsi="Times New Roman" w:eastAsia="黑体" w:cs="Times New Roman"/>
                <w:b w:val="0"/>
                <w:bCs/>
                <w:color w:val="000000"/>
                <w:sz w:val="21"/>
                <w:szCs w:val="21"/>
                <w:highlight w:val="none"/>
                <w:lang w:eastAsia="zh-CN"/>
              </w:rPr>
            </w:pPr>
            <w:r>
              <w:rPr>
                <w:rFonts w:hint="default" w:ascii="Times New Roman" w:hAnsi="Times New Roman" w:eastAsia="黑体" w:cs="Times New Roman"/>
                <w:b w:val="0"/>
                <w:bCs/>
                <w:color w:val="000000"/>
                <w:sz w:val="21"/>
                <w:szCs w:val="21"/>
                <w:highlight w:val="none"/>
              </w:rPr>
              <w:t>表</w:t>
            </w:r>
            <w:r>
              <w:rPr>
                <w:rFonts w:hint="eastAsia" w:eastAsia="黑体" w:cs="Times New Roman"/>
                <w:b w:val="0"/>
                <w:bCs/>
                <w:color w:val="000000"/>
                <w:sz w:val="21"/>
                <w:szCs w:val="21"/>
                <w:highlight w:val="none"/>
                <w:lang w:val="en-US" w:eastAsia="zh-CN"/>
              </w:rPr>
              <w:t>4-11</w:t>
            </w:r>
            <w:r>
              <w:rPr>
                <w:rFonts w:hint="default" w:ascii="Times New Roman" w:hAnsi="Times New Roman" w:eastAsia="黑体" w:cs="Times New Roman"/>
                <w:b w:val="0"/>
                <w:bCs/>
                <w:color w:val="000000"/>
                <w:sz w:val="21"/>
                <w:szCs w:val="21"/>
                <w:highlight w:val="none"/>
              </w:rPr>
              <w:t>废矿物油产生情况汇总</w:t>
            </w:r>
            <w:r>
              <w:rPr>
                <w:rFonts w:hint="default" w:ascii="Times New Roman" w:hAnsi="Times New Roman" w:eastAsia="黑体" w:cs="Times New Roman"/>
                <w:b w:val="0"/>
                <w:bCs/>
                <w:color w:val="000000"/>
                <w:sz w:val="21"/>
                <w:szCs w:val="21"/>
                <w:highlight w:val="none"/>
                <w:lang w:eastAsia="zh-CN"/>
              </w:rPr>
              <w:t>表</w:t>
            </w:r>
          </w:p>
          <w:tbl>
            <w:tblPr>
              <w:tblStyle w:val="24"/>
              <w:tblW w:w="4996" w:type="pct"/>
              <w:tblInd w:w="7"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740"/>
              <w:gridCol w:w="989"/>
              <w:gridCol w:w="492"/>
              <w:gridCol w:w="725"/>
              <w:gridCol w:w="916"/>
              <w:gridCol w:w="420"/>
              <w:gridCol w:w="893"/>
              <w:gridCol w:w="542"/>
              <w:gridCol w:w="543"/>
              <w:gridCol w:w="1426"/>
            </w:tblGrid>
            <w:tr w14:paraId="6883FC2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17" w:hRule="atLeast"/>
              </w:trPr>
              <w:tc>
                <w:tcPr>
                  <w:tcW w:w="481" w:type="pct"/>
                  <w:tcBorders>
                    <w:tl2br w:val="nil"/>
                    <w:tr2bl w:val="nil"/>
                  </w:tcBorders>
                  <w:noWrap w:val="0"/>
                  <w:vAlign w:val="center"/>
                </w:tcPr>
                <w:p w14:paraId="7E1E3319">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危险废物名称</w:t>
                  </w:r>
                </w:p>
              </w:tc>
              <w:tc>
                <w:tcPr>
                  <w:tcW w:w="643" w:type="pct"/>
                  <w:tcBorders>
                    <w:tl2br w:val="nil"/>
                    <w:tr2bl w:val="nil"/>
                  </w:tcBorders>
                  <w:noWrap w:val="0"/>
                  <w:vAlign w:val="center"/>
                </w:tcPr>
                <w:p w14:paraId="5ADA5D57">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危险废物类别</w:t>
                  </w:r>
                </w:p>
              </w:tc>
              <w:tc>
                <w:tcPr>
                  <w:tcW w:w="320" w:type="pct"/>
                  <w:tcBorders>
                    <w:tl2br w:val="nil"/>
                    <w:tr2bl w:val="nil"/>
                  </w:tcBorders>
                  <w:noWrap w:val="0"/>
                  <w:vAlign w:val="center"/>
                </w:tcPr>
                <w:p w14:paraId="1D42E036">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危险废物代码</w:t>
                  </w:r>
                </w:p>
              </w:tc>
              <w:tc>
                <w:tcPr>
                  <w:tcW w:w="471" w:type="pct"/>
                  <w:tcBorders>
                    <w:tl2br w:val="nil"/>
                    <w:tr2bl w:val="nil"/>
                  </w:tcBorders>
                  <w:noWrap w:val="0"/>
                  <w:vAlign w:val="center"/>
                </w:tcPr>
                <w:p w14:paraId="0F7DCBCC">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产生量</w:t>
                  </w:r>
                </w:p>
                <w:p w14:paraId="2236D57B">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（吨/年）</w:t>
                  </w:r>
                </w:p>
              </w:tc>
              <w:tc>
                <w:tcPr>
                  <w:tcW w:w="595" w:type="pct"/>
                  <w:tcBorders>
                    <w:tl2br w:val="nil"/>
                    <w:tr2bl w:val="nil"/>
                  </w:tcBorders>
                  <w:noWrap w:val="0"/>
                  <w:vAlign w:val="center"/>
                </w:tcPr>
                <w:p w14:paraId="45934A94">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产生工序及装置</w:t>
                  </w:r>
                </w:p>
              </w:tc>
              <w:tc>
                <w:tcPr>
                  <w:tcW w:w="273" w:type="pct"/>
                  <w:tcBorders>
                    <w:tl2br w:val="nil"/>
                    <w:tr2bl w:val="nil"/>
                  </w:tcBorders>
                  <w:noWrap w:val="0"/>
                  <w:vAlign w:val="center"/>
                </w:tcPr>
                <w:p w14:paraId="25ABC060">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形态</w:t>
                  </w:r>
                </w:p>
              </w:tc>
              <w:tc>
                <w:tcPr>
                  <w:tcW w:w="580" w:type="pct"/>
                  <w:tcBorders>
                    <w:tl2br w:val="nil"/>
                    <w:tr2bl w:val="nil"/>
                  </w:tcBorders>
                  <w:noWrap w:val="0"/>
                  <w:vAlign w:val="center"/>
                </w:tcPr>
                <w:p w14:paraId="3363D3C6">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主要成分有害成分</w:t>
                  </w:r>
                </w:p>
              </w:tc>
              <w:tc>
                <w:tcPr>
                  <w:tcW w:w="352" w:type="pct"/>
                  <w:tcBorders>
                    <w:tl2br w:val="nil"/>
                    <w:tr2bl w:val="nil"/>
                  </w:tcBorders>
                  <w:noWrap w:val="0"/>
                  <w:vAlign w:val="center"/>
                </w:tcPr>
                <w:p w14:paraId="4051EFF7">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产废周期</w:t>
                  </w:r>
                </w:p>
              </w:tc>
              <w:tc>
                <w:tcPr>
                  <w:tcW w:w="353" w:type="pct"/>
                  <w:tcBorders>
                    <w:tl2br w:val="nil"/>
                    <w:tr2bl w:val="nil"/>
                  </w:tcBorders>
                  <w:noWrap w:val="0"/>
                  <w:vAlign w:val="center"/>
                </w:tcPr>
                <w:p w14:paraId="02DC7F56">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危险特性</w:t>
                  </w:r>
                </w:p>
              </w:tc>
              <w:tc>
                <w:tcPr>
                  <w:tcW w:w="927" w:type="pct"/>
                  <w:tcBorders>
                    <w:tl2br w:val="nil"/>
                    <w:tr2bl w:val="nil"/>
                  </w:tcBorders>
                  <w:noWrap w:val="0"/>
                  <w:vAlign w:val="center"/>
                </w:tcPr>
                <w:p w14:paraId="0DBC3D6E">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污染防治措施</w:t>
                  </w:r>
                </w:p>
              </w:tc>
            </w:tr>
            <w:tr w14:paraId="0E029AE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481" w:type="pct"/>
                  <w:tcBorders>
                    <w:tl2br w:val="nil"/>
                    <w:tr2bl w:val="nil"/>
                  </w:tcBorders>
                  <w:noWrap w:val="0"/>
                  <w:vAlign w:val="center"/>
                </w:tcPr>
                <w:p w14:paraId="575F070D">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废</w:t>
                  </w:r>
                  <w:r>
                    <w:rPr>
                      <w:rFonts w:hint="eastAsia" w:ascii="Times New Roman" w:hAnsi="Times New Roman" w:cs="Times New Roman"/>
                      <w:color w:val="000000"/>
                      <w:sz w:val="21"/>
                      <w:szCs w:val="21"/>
                      <w:highlight w:val="none"/>
                      <w:lang w:val="en-US" w:eastAsia="zh-CN"/>
                    </w:rPr>
                    <w:t>机</w:t>
                  </w:r>
                  <w:r>
                    <w:rPr>
                      <w:rFonts w:hint="default" w:ascii="Times New Roman" w:hAnsi="Times New Roman" w:cs="Times New Roman"/>
                      <w:color w:val="000000"/>
                      <w:sz w:val="21"/>
                      <w:szCs w:val="21"/>
                      <w:highlight w:val="none"/>
                    </w:rPr>
                    <w:t>油</w:t>
                  </w:r>
                </w:p>
              </w:tc>
              <w:tc>
                <w:tcPr>
                  <w:tcW w:w="643" w:type="pct"/>
                  <w:tcBorders>
                    <w:tl2br w:val="nil"/>
                    <w:tr2bl w:val="nil"/>
                  </w:tcBorders>
                  <w:noWrap w:val="0"/>
                  <w:vAlign w:val="center"/>
                </w:tcPr>
                <w:p w14:paraId="4FB237B2">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HW08废</w:t>
                  </w:r>
                  <w:r>
                    <w:rPr>
                      <w:rFonts w:hint="default" w:ascii="Times New Roman" w:hAnsi="Times New Roman" w:cs="Times New Roman"/>
                      <w:color w:val="000000"/>
                      <w:spacing w:val="-5"/>
                      <w:sz w:val="21"/>
                      <w:szCs w:val="21"/>
                      <w:highlight w:val="none"/>
                    </w:rPr>
                    <w:t>矿物油与含矿物油</w:t>
                  </w:r>
                  <w:r>
                    <w:rPr>
                      <w:rFonts w:hint="default" w:ascii="Times New Roman" w:hAnsi="Times New Roman" w:cs="Times New Roman"/>
                      <w:color w:val="000000"/>
                      <w:sz w:val="21"/>
                      <w:szCs w:val="21"/>
                      <w:highlight w:val="none"/>
                    </w:rPr>
                    <w:t>废物</w:t>
                  </w:r>
                </w:p>
              </w:tc>
              <w:tc>
                <w:tcPr>
                  <w:tcW w:w="320" w:type="pct"/>
                  <w:tcBorders>
                    <w:tl2br w:val="nil"/>
                    <w:tr2bl w:val="nil"/>
                  </w:tcBorders>
                  <w:noWrap w:val="0"/>
                  <w:vAlign w:val="center"/>
                </w:tcPr>
                <w:p w14:paraId="16A43C41">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900-214-</w:t>
                  </w:r>
                </w:p>
                <w:p w14:paraId="620B30F5">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08</w:t>
                  </w:r>
                </w:p>
              </w:tc>
              <w:tc>
                <w:tcPr>
                  <w:tcW w:w="471" w:type="pct"/>
                  <w:tcBorders>
                    <w:tl2br w:val="nil"/>
                    <w:tr2bl w:val="nil"/>
                  </w:tcBorders>
                  <w:noWrap w:val="0"/>
                  <w:vAlign w:val="center"/>
                </w:tcPr>
                <w:p w14:paraId="4B2D60FA">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rPr>
                    <w:t>0.</w:t>
                  </w:r>
                  <w:r>
                    <w:rPr>
                      <w:rFonts w:hint="default" w:ascii="Times New Roman" w:hAnsi="Times New Roman" w:cs="Times New Roman"/>
                      <w:color w:val="000000"/>
                      <w:sz w:val="21"/>
                      <w:szCs w:val="21"/>
                      <w:highlight w:val="none"/>
                      <w:lang w:val="en-US" w:eastAsia="zh-CN"/>
                    </w:rPr>
                    <w:t>1</w:t>
                  </w:r>
                </w:p>
              </w:tc>
              <w:tc>
                <w:tcPr>
                  <w:tcW w:w="595" w:type="pct"/>
                  <w:tcBorders>
                    <w:tl2br w:val="nil"/>
                    <w:tr2bl w:val="nil"/>
                  </w:tcBorders>
                  <w:noWrap w:val="0"/>
                  <w:vAlign w:val="center"/>
                </w:tcPr>
                <w:p w14:paraId="54C58266">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车辆和机械设备维修</w:t>
                  </w:r>
                </w:p>
              </w:tc>
              <w:tc>
                <w:tcPr>
                  <w:tcW w:w="273" w:type="pct"/>
                  <w:tcBorders>
                    <w:tl2br w:val="nil"/>
                    <w:tr2bl w:val="nil"/>
                  </w:tcBorders>
                  <w:noWrap w:val="0"/>
                  <w:vAlign w:val="center"/>
                </w:tcPr>
                <w:p w14:paraId="352AC1CC">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液态</w:t>
                  </w:r>
                </w:p>
              </w:tc>
              <w:tc>
                <w:tcPr>
                  <w:tcW w:w="580" w:type="pct"/>
                  <w:tcBorders>
                    <w:tl2br w:val="nil"/>
                    <w:tr2bl w:val="nil"/>
                  </w:tcBorders>
                  <w:noWrap w:val="0"/>
                  <w:vAlign w:val="center"/>
                </w:tcPr>
                <w:p w14:paraId="0BF0AD2D">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碳氢化合物﹑重金属</w:t>
                  </w:r>
                </w:p>
              </w:tc>
              <w:tc>
                <w:tcPr>
                  <w:tcW w:w="352" w:type="pct"/>
                  <w:tcBorders>
                    <w:tl2br w:val="nil"/>
                    <w:tr2bl w:val="nil"/>
                  </w:tcBorders>
                  <w:noWrap w:val="0"/>
                  <w:vAlign w:val="center"/>
                </w:tcPr>
                <w:p w14:paraId="475ECE25">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1次/年</w:t>
                  </w:r>
                </w:p>
              </w:tc>
              <w:tc>
                <w:tcPr>
                  <w:tcW w:w="353" w:type="pct"/>
                  <w:tcBorders>
                    <w:tl2br w:val="nil"/>
                    <w:tr2bl w:val="nil"/>
                  </w:tcBorders>
                  <w:noWrap w:val="0"/>
                  <w:vAlign w:val="center"/>
                </w:tcPr>
                <w:p w14:paraId="014947EE">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毒性和易燃性</w:t>
                  </w:r>
                </w:p>
              </w:tc>
              <w:tc>
                <w:tcPr>
                  <w:tcW w:w="927" w:type="pct"/>
                  <w:tcBorders>
                    <w:tl2br w:val="nil"/>
                    <w:tr2bl w:val="nil"/>
                  </w:tcBorders>
                  <w:noWrap w:val="0"/>
                  <w:vAlign w:val="center"/>
                </w:tcPr>
                <w:p w14:paraId="52BD865A">
                  <w:pPr>
                    <w:pStyle w:val="37"/>
                    <w:pageBreakBefore w:val="0"/>
                    <w:kinsoku/>
                    <w:overflowPunct/>
                    <w:bidi w:val="0"/>
                    <w:adjustRightInd w:val="0"/>
                    <w:snapToGrid w:val="0"/>
                    <w:spacing w:line="240" w:lineRule="auto"/>
                    <w:ind w:left="0" w:leftChars="0" w:right="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有危废资质单位处理</w:t>
                  </w:r>
                </w:p>
              </w:tc>
            </w:tr>
          </w:tbl>
          <w:p w14:paraId="2A10BC2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ascii="Times New Roman" w:hAnsi="Times New Roman" w:eastAsia="宋体" w:cs="Times New Roman"/>
                <w:color w:val="000000"/>
                <w:kern w:val="2"/>
                <w:sz w:val="24"/>
                <w:szCs w:val="24"/>
                <w:highlight w:val="none"/>
                <w:lang w:val="en-US" w:eastAsia="zh-CN" w:bidi="ar-SA"/>
              </w:rPr>
              <w:t>根据《危险废物管理计划和管理台账制定技术导则》（HJ1259-2022）：“危险废物登记管理单位：同一生产经营场所危险废物年产生量</w:t>
            </w:r>
            <w:r>
              <w:rPr>
                <w:rFonts w:hint="default" w:ascii="Times New Roman" w:hAnsi="Times New Roman" w:eastAsia="宋体" w:cs="Times New Roman"/>
                <w:color w:val="000000"/>
                <w:kern w:val="2"/>
                <w:sz w:val="24"/>
                <w:szCs w:val="24"/>
                <w:highlight w:val="none"/>
                <w:lang w:val="en-US" w:eastAsia="zh-CN" w:bidi="ar-SA"/>
              </w:rPr>
              <w:t>10t</w:t>
            </w:r>
            <w:r>
              <w:rPr>
                <w:rFonts w:hint="eastAsia" w:ascii="Times New Roman" w:hAnsi="Times New Roman" w:eastAsia="宋体" w:cs="Times New Roman"/>
                <w:color w:val="000000"/>
                <w:kern w:val="2"/>
                <w:sz w:val="24"/>
                <w:szCs w:val="24"/>
                <w:highlight w:val="none"/>
                <w:lang w:val="en-US" w:eastAsia="zh-CN" w:bidi="ar-SA"/>
              </w:rPr>
              <w:t>以下且未纳入危险废物环境重点监管单位的单位”。根据《危险废物贮存污染控制标准》（GB18597-2023）：“贮存点：</w:t>
            </w:r>
            <w:r>
              <w:rPr>
                <w:rFonts w:hint="default" w:ascii="Times New Roman" w:hAnsi="Times New Roman" w:eastAsia="宋体" w:cs="Times New Roman"/>
                <w:color w:val="000000"/>
                <w:kern w:val="2"/>
                <w:sz w:val="24"/>
                <w:szCs w:val="24"/>
                <w:highlight w:val="none"/>
                <w:lang w:val="en-US" w:eastAsia="zh-CN" w:bidi="ar-SA"/>
              </w:rPr>
              <w:t>HJ1259</w:t>
            </w:r>
            <w:r>
              <w:rPr>
                <w:rFonts w:hint="eastAsia" w:ascii="Times New Roman" w:hAnsi="Times New Roman" w:eastAsia="宋体" w:cs="Times New Roman"/>
                <w:color w:val="000000"/>
                <w:kern w:val="2"/>
                <w:sz w:val="24"/>
                <w:szCs w:val="24"/>
                <w:highlight w:val="none"/>
                <w:lang w:val="en-US" w:eastAsia="zh-CN" w:bidi="ar-SA"/>
              </w:rPr>
              <w:t>规定的纳入危险废物登记管理单位的，用于同一生产经营场所专门贮存危险废物的场所”，本项目危险废物产生量为0</w:t>
            </w:r>
            <w:r>
              <w:rPr>
                <w:rFonts w:hint="eastAsia" w:cs="Times New Roman"/>
                <w:color w:val="000000"/>
                <w:kern w:val="2"/>
                <w:sz w:val="24"/>
                <w:szCs w:val="24"/>
                <w:highlight w:val="none"/>
                <w:lang w:val="en-US" w:eastAsia="zh-CN" w:bidi="ar-SA"/>
              </w:rPr>
              <w:t>.1</w:t>
            </w:r>
            <w:r>
              <w:rPr>
                <w:rFonts w:hint="eastAsia" w:ascii="Times New Roman" w:hAnsi="Times New Roman" w:eastAsia="宋体" w:cs="Times New Roman"/>
                <w:color w:val="000000"/>
                <w:kern w:val="2"/>
                <w:sz w:val="24"/>
                <w:szCs w:val="24"/>
                <w:highlight w:val="none"/>
                <w:lang w:val="en-US" w:eastAsia="zh-CN" w:bidi="ar-SA"/>
              </w:rPr>
              <w:t>t/a，且不属于危险废物重点监管单位，贮存危险废物为本项目运行过程中产生的HW08类危险废物，符合“贮存点”管理要求，因此</w:t>
            </w:r>
            <w:r>
              <w:rPr>
                <w:rFonts w:hint="default" w:ascii="Times New Roman" w:hAnsi="Times New Roman" w:eastAsia="宋体" w:cs="Times New Roman"/>
                <w:color w:val="000000"/>
                <w:kern w:val="2"/>
                <w:sz w:val="24"/>
                <w:szCs w:val="24"/>
                <w:highlight w:val="none"/>
                <w:lang w:val="en-US" w:eastAsia="zh-CN" w:bidi="ar-SA"/>
              </w:rPr>
              <w:t>在</w:t>
            </w:r>
            <w:r>
              <w:rPr>
                <w:rFonts w:hint="eastAsia" w:cs="Times New Roman"/>
                <w:color w:val="000000"/>
                <w:kern w:val="2"/>
                <w:sz w:val="24"/>
                <w:szCs w:val="24"/>
                <w:highlight w:val="none"/>
                <w:lang w:val="en-US" w:eastAsia="zh-CN" w:bidi="ar-SA"/>
              </w:rPr>
              <w:t>一氧化二氮充装车间西侧</w:t>
            </w:r>
            <w:r>
              <w:rPr>
                <w:rFonts w:hint="eastAsia" w:ascii="Times New Roman" w:hAnsi="Times New Roman" w:eastAsia="宋体" w:cs="Times New Roman"/>
                <w:color w:val="000000"/>
                <w:kern w:val="2"/>
                <w:sz w:val="24"/>
                <w:szCs w:val="24"/>
                <w:highlight w:val="none"/>
                <w:lang w:val="en-US" w:eastAsia="zh-CN" w:bidi="ar-SA"/>
              </w:rPr>
              <w:t>设置危险废物贮存点一处，占地面积10m</w:t>
            </w:r>
            <w:r>
              <w:rPr>
                <w:rFonts w:hint="eastAsia" w:ascii="Times New Roman" w:hAnsi="Times New Roman" w:eastAsia="宋体" w:cs="Times New Roman"/>
                <w:color w:val="000000"/>
                <w:kern w:val="2"/>
                <w:sz w:val="24"/>
                <w:szCs w:val="24"/>
                <w:highlight w:val="none"/>
                <w:vertAlign w:val="super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，最大贮存量为</w:t>
            </w:r>
            <w:r>
              <w:rPr>
                <w:rFonts w:hint="eastAsia" w:cs="Times New Roman"/>
                <w:color w:val="000000"/>
                <w:kern w:val="2"/>
                <w:sz w:val="24"/>
                <w:szCs w:val="24"/>
                <w:highlight w:val="none"/>
                <w:lang w:val="en-US" w:eastAsia="zh-CN" w:bidi="ar-SA"/>
              </w:rPr>
              <w:t>1</w:t>
            </w:r>
            <w:r>
              <w:rPr>
                <w:rFonts w:hint="default" w:ascii="Times New Roman" w:hAnsi="Times New Roman" w:eastAsia="宋体" w:cs="Times New Roman"/>
                <w:color w:val="000000"/>
                <w:kern w:val="2"/>
                <w:sz w:val="24"/>
                <w:szCs w:val="24"/>
                <w:highlight w:val="none"/>
                <w:lang w:val="en-US" w:eastAsia="zh-CN" w:bidi="ar-SA"/>
              </w:rPr>
              <w:t>t/a</w:t>
            </w:r>
            <w:r>
              <w:rPr>
                <w:rFonts w:hint="eastAsia" w:ascii="Times New Roman" w:hAnsi="Times New Roman" w:eastAsia="宋体" w:cs="Times New Roman"/>
                <w:color w:val="000000"/>
                <w:kern w:val="2"/>
                <w:sz w:val="24"/>
                <w:szCs w:val="24"/>
                <w:highlight w:val="none"/>
                <w:lang w:val="en-US" w:eastAsia="zh-CN" w:bidi="ar-SA"/>
              </w:rPr>
              <w:t>，</w:t>
            </w:r>
            <w:r>
              <w:rPr>
                <w:rFonts w:hint="default" w:ascii="Times New Roman" w:hAnsi="Times New Roman" w:eastAsia="宋体" w:cs="Times New Roman"/>
                <w:color w:val="000000"/>
                <w:kern w:val="2"/>
                <w:sz w:val="24"/>
                <w:szCs w:val="24"/>
                <w:highlight w:val="none"/>
                <w:lang w:val="en-US" w:eastAsia="zh-CN" w:bidi="ar-SA"/>
              </w:rPr>
              <w:t>选址区域地质结构稳定，高于地下水最高水位；与居民相对距离较远，选址符合《危险废物贮存污染控制标准》（GB18597-2023）管理要求。</w:t>
            </w:r>
          </w:p>
          <w:p w14:paraId="66F4EBA7">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default"/>
                <w:color w:val="000000"/>
                <w:highlight w:val="none"/>
                <w:lang w:val="en-US" w:eastAsia="zh-CN"/>
              </w:rPr>
            </w:pPr>
            <w:r>
              <w:rPr>
                <w:rFonts w:hint="eastAsia" w:ascii="Times New Roman" w:hAnsi="Times New Roman" w:eastAsia="宋体" w:cs="Times New Roman"/>
                <w:color w:val="000000"/>
                <w:kern w:val="2"/>
                <w:sz w:val="24"/>
                <w:szCs w:val="24"/>
                <w:highlight w:val="none"/>
                <w:lang w:val="en-US" w:eastAsia="zh-CN" w:bidi="ar-SA"/>
              </w:rPr>
              <w:t>危险废物</w:t>
            </w:r>
            <w:r>
              <w:rPr>
                <w:rFonts w:hint="default" w:ascii="Times New Roman" w:hAnsi="Times New Roman" w:eastAsia="宋体" w:cs="Times New Roman"/>
                <w:color w:val="000000"/>
                <w:kern w:val="2"/>
                <w:sz w:val="24"/>
                <w:szCs w:val="24"/>
                <w:highlight w:val="none"/>
                <w:lang w:val="en-US" w:eastAsia="zh-CN" w:bidi="ar-SA"/>
              </w:rPr>
              <w:t>收集在固定容器中存于暂存间，采取混凝土地面防渗及密闭措施，要求符合防风、防雨、防晒和防渗漏的环保要求，并设置警示标识，最后定期由有危废处置资质的单位定期处理。采取措施后，可有效防止污染，对环境空气、地下水、土壤等环境影响较小。</w:t>
            </w:r>
          </w:p>
          <w:p w14:paraId="640DFFA9">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（3）</w:t>
            </w:r>
            <w:r>
              <w:rPr>
                <w:rFonts w:hint="default" w:ascii="Times New Roman" w:hAnsi="Times New Roman" w:eastAsia="宋体" w:cs="Times New Roman"/>
                <w:color w:val="000000"/>
                <w:kern w:val="2"/>
                <w:sz w:val="24"/>
                <w:szCs w:val="24"/>
                <w:highlight w:val="none"/>
                <w:lang w:val="en-US" w:eastAsia="zh-CN" w:bidi="ar-SA"/>
              </w:rPr>
              <w:t>贮存场所（设施）污染防治措施</w:t>
            </w:r>
          </w:p>
          <w:p w14:paraId="34E8E756">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default" w:ascii="Times New Roman" w:hAnsi="Times New Roman" w:cs="Times New Roman"/>
                <w:color w:val="000000"/>
                <w:kern w:val="2"/>
                <w:sz w:val="24"/>
                <w:szCs w:val="24"/>
                <w:highlight w:val="none"/>
                <w:lang w:val="en-US" w:eastAsia="zh-CN" w:bidi="ar-SA"/>
              </w:rPr>
            </w:pPr>
            <w:r>
              <w:rPr>
                <w:rFonts w:hint="default" w:ascii="Times New Roman" w:hAnsi="Times New Roman" w:cs="Times New Roman"/>
                <w:color w:val="000000"/>
                <w:kern w:val="2"/>
                <w:sz w:val="24"/>
                <w:szCs w:val="24"/>
                <w:highlight w:val="none"/>
                <w:lang w:val="en-US" w:eastAsia="zh-CN" w:bidi="ar-SA"/>
              </w:rPr>
              <w:t>本项目危废贮存点按照《危险废物贮存污染控制标准》（GB18597-2023）要求设置，具体设置情况如下表所示。</w:t>
            </w:r>
          </w:p>
          <w:p w14:paraId="1C1D2D9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jc w:val="center"/>
              <w:textAlignment w:val="auto"/>
              <w:rPr>
                <w:rFonts w:hint="default" w:ascii="Times New Roman" w:hAnsi="Times New Roman" w:eastAsia="黑体" w:cs="Times New Roman"/>
                <w:b w:val="0"/>
                <w:bCs w:val="0"/>
                <w:color w:val="000000"/>
                <w:sz w:val="21"/>
                <w:szCs w:val="21"/>
                <w:highlight w:val="none"/>
                <w:lang w:val="en-US" w:eastAsia="zh-CN"/>
              </w:rPr>
            </w:pPr>
            <w:r>
              <w:rPr>
                <w:rFonts w:hint="default" w:ascii="Times New Roman" w:hAnsi="Times New Roman" w:eastAsia="黑体" w:cs="Times New Roman"/>
                <w:b w:val="0"/>
                <w:bCs w:val="0"/>
                <w:color w:val="000000"/>
                <w:sz w:val="21"/>
                <w:szCs w:val="21"/>
                <w:highlight w:val="none"/>
                <w:lang w:val="en-US" w:eastAsia="zh-CN"/>
              </w:rPr>
              <w:t>表</w:t>
            </w:r>
            <w:r>
              <w:rPr>
                <w:rFonts w:hint="eastAsia" w:eastAsia="黑体" w:cs="Times New Roman"/>
                <w:b w:val="0"/>
                <w:bCs w:val="0"/>
                <w:color w:val="000000"/>
                <w:sz w:val="21"/>
                <w:szCs w:val="21"/>
                <w:highlight w:val="none"/>
                <w:lang w:val="en-US" w:eastAsia="zh-CN"/>
              </w:rPr>
              <w:t>4-12</w:t>
            </w:r>
            <w:r>
              <w:rPr>
                <w:rFonts w:hint="default" w:ascii="Times New Roman" w:hAnsi="Times New Roman" w:eastAsia="黑体" w:cs="Times New Roman"/>
                <w:b w:val="0"/>
                <w:bCs w:val="0"/>
                <w:color w:val="000000"/>
                <w:sz w:val="21"/>
                <w:szCs w:val="21"/>
                <w:highlight w:val="none"/>
                <w:lang w:val="en-US" w:eastAsia="zh-CN"/>
              </w:rPr>
              <w:t>危险废物贮存点设置情况一览表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5"/>
              <w:gridCol w:w="3003"/>
              <w:gridCol w:w="3373"/>
              <w:gridCol w:w="928"/>
            </w:tblGrid>
            <w:tr w14:paraId="1B2624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03" w:type="pct"/>
                  <w:gridSpan w:val="2"/>
                  <w:tcBorders>
                    <w:tl2br w:val="nil"/>
                    <w:tr2bl w:val="nil"/>
                  </w:tcBorders>
                  <w:noWrap w:val="0"/>
                  <w:vAlign w:val="center"/>
                </w:tcPr>
                <w:p w14:paraId="4B1B8767">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kern w:val="2"/>
                      <w:sz w:val="21"/>
                      <w:szCs w:val="21"/>
                      <w:highlight w:val="none"/>
                      <w:lang w:val="en-US" w:eastAsia="zh-CN" w:bidi="ar-SA"/>
                    </w:rPr>
                    <w:t>《危险废物贮存污染控制标准》（GB18597-2023）贮存点管理要求</w:t>
                  </w:r>
                </w:p>
              </w:tc>
              <w:tc>
                <w:tcPr>
                  <w:tcW w:w="2193" w:type="pct"/>
                  <w:tcBorders>
                    <w:tl2br w:val="nil"/>
                    <w:tr2bl w:val="nil"/>
                  </w:tcBorders>
                  <w:noWrap w:val="0"/>
                  <w:vAlign w:val="center"/>
                </w:tcPr>
                <w:p w14:paraId="5C4047AF">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本项目设置情况</w:t>
                  </w:r>
                </w:p>
              </w:tc>
              <w:tc>
                <w:tcPr>
                  <w:tcW w:w="603" w:type="pct"/>
                  <w:tcBorders>
                    <w:tl2br w:val="nil"/>
                    <w:tr2bl w:val="nil"/>
                  </w:tcBorders>
                  <w:noWrap w:val="0"/>
                  <w:vAlign w:val="center"/>
                </w:tcPr>
                <w:p w14:paraId="67EE4768">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符合性</w:t>
                  </w:r>
                </w:p>
              </w:tc>
            </w:tr>
            <w:tr w14:paraId="40905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1" w:type="pct"/>
                  <w:tcBorders>
                    <w:tl2br w:val="nil"/>
                    <w:tr2bl w:val="nil"/>
                  </w:tcBorders>
                  <w:noWrap w:val="0"/>
                  <w:vAlign w:val="center"/>
                </w:tcPr>
                <w:p w14:paraId="3DF92DA9">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w:t>
                  </w:r>
                </w:p>
              </w:tc>
              <w:tc>
                <w:tcPr>
                  <w:tcW w:w="1951" w:type="pct"/>
                  <w:tcBorders>
                    <w:tl2br w:val="nil"/>
                    <w:tr2bl w:val="nil"/>
                  </w:tcBorders>
                  <w:noWrap w:val="0"/>
                  <w:vAlign w:val="center"/>
                </w:tcPr>
                <w:p w14:paraId="379F0EEF">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贮存点应具有固定的区域边界，并应采取与其他区域进行隔离的措施。</w:t>
                  </w:r>
                </w:p>
              </w:tc>
              <w:tc>
                <w:tcPr>
                  <w:tcW w:w="2193" w:type="pct"/>
                  <w:tcBorders>
                    <w:tl2br w:val="nil"/>
                    <w:tr2bl w:val="nil"/>
                  </w:tcBorders>
                  <w:noWrap w:val="0"/>
                  <w:vAlign w:val="center"/>
                </w:tcPr>
                <w:p w14:paraId="1C4824F2">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本项目在厂区</w:t>
                  </w:r>
                  <w:r>
                    <w:rPr>
                      <w:rFonts w:hint="eastAsia" w:eastAsia="宋体" w:cs="Times New Roman"/>
                      <w:color w:val="000000"/>
                      <w:sz w:val="21"/>
                      <w:szCs w:val="21"/>
                      <w:highlight w:val="none"/>
                      <w:vertAlign w:val="baseline"/>
                      <w:lang w:val="en-US" w:eastAsia="zh-CN"/>
                    </w:rPr>
                    <w:t>南</w:t>
                  </w:r>
                  <w:r>
                    <w:rPr>
                      <w:rFonts w:hint="default" w:ascii="Times New Roman" w:hAnsi="Times New Roman" w:eastAsia="宋体" w:cs="Times New Roman"/>
                      <w:color w:val="000000"/>
                      <w:sz w:val="21"/>
                      <w:szCs w:val="21"/>
                      <w:highlight w:val="none"/>
                      <w:vertAlign w:val="baseline"/>
                      <w:lang w:val="en-US" w:eastAsia="zh-CN"/>
                    </w:rPr>
                    <w:t>侧设置独立危废贮存点，与企业及周边建筑物隔离。</w:t>
                  </w:r>
                </w:p>
              </w:tc>
              <w:tc>
                <w:tcPr>
                  <w:tcW w:w="603" w:type="pct"/>
                  <w:tcBorders>
                    <w:tl2br w:val="nil"/>
                    <w:tr2bl w:val="nil"/>
                  </w:tcBorders>
                  <w:noWrap w:val="0"/>
                  <w:vAlign w:val="center"/>
                </w:tcPr>
                <w:p w14:paraId="63700464">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w:t>
                  </w:r>
                </w:p>
              </w:tc>
            </w:tr>
            <w:tr w14:paraId="4CD7E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1" w:type="pct"/>
                  <w:tcBorders>
                    <w:tl2br w:val="nil"/>
                    <w:tr2bl w:val="nil"/>
                  </w:tcBorders>
                  <w:noWrap w:val="0"/>
                  <w:vAlign w:val="center"/>
                </w:tcPr>
                <w:p w14:paraId="500E3503">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2</w:t>
                  </w:r>
                </w:p>
              </w:tc>
              <w:tc>
                <w:tcPr>
                  <w:tcW w:w="1951" w:type="pct"/>
                  <w:tcBorders>
                    <w:tl2br w:val="nil"/>
                    <w:tr2bl w:val="nil"/>
                  </w:tcBorders>
                  <w:noWrap w:val="0"/>
                  <w:vAlign w:val="center"/>
                </w:tcPr>
                <w:p w14:paraId="1A1D41A4">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贮存点应采取防风、防雨、防晒和防止危险废物流失、扬散等措施</w:t>
                  </w:r>
                </w:p>
              </w:tc>
              <w:tc>
                <w:tcPr>
                  <w:tcW w:w="2193" w:type="pct"/>
                  <w:tcBorders>
                    <w:tl2br w:val="nil"/>
                    <w:tr2bl w:val="nil"/>
                  </w:tcBorders>
                  <w:noWrap w:val="0"/>
                  <w:vAlign w:val="center"/>
                </w:tcPr>
                <w:p w14:paraId="764DABB9">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贮存点为</w:t>
                  </w:r>
                  <w:r>
                    <w:rPr>
                      <w:rFonts w:hint="default" w:ascii="Times New Roman" w:hAnsi="Times New Roman" w:eastAsia="宋体" w:cs="Times New Roman"/>
                      <w:color w:val="000000"/>
                      <w:kern w:val="0"/>
                      <w:sz w:val="21"/>
                      <w:szCs w:val="21"/>
                      <w:highlight w:val="none"/>
                      <w:lang w:val="en-US" w:eastAsia="zh-CN" w:bidi="ar"/>
                    </w:rPr>
                    <w:t>防风、防雨、防晒、防扬散封闭设置，并设置防盗、监控装置，防止危废流失。</w:t>
                  </w:r>
                </w:p>
              </w:tc>
              <w:tc>
                <w:tcPr>
                  <w:tcW w:w="603" w:type="pct"/>
                  <w:tcBorders>
                    <w:tl2br w:val="nil"/>
                    <w:tr2bl w:val="nil"/>
                  </w:tcBorders>
                  <w:noWrap w:val="0"/>
                  <w:vAlign w:val="center"/>
                </w:tcPr>
                <w:p w14:paraId="15A11BCD">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w:t>
                  </w:r>
                </w:p>
              </w:tc>
            </w:tr>
            <w:tr w14:paraId="748C2A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1" w:type="pct"/>
                  <w:tcBorders>
                    <w:tl2br w:val="nil"/>
                    <w:tr2bl w:val="nil"/>
                  </w:tcBorders>
                  <w:noWrap w:val="0"/>
                  <w:vAlign w:val="center"/>
                </w:tcPr>
                <w:p w14:paraId="1DB13DFE">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3</w:t>
                  </w:r>
                </w:p>
              </w:tc>
              <w:tc>
                <w:tcPr>
                  <w:tcW w:w="1951" w:type="pct"/>
                  <w:tcBorders>
                    <w:tl2br w:val="nil"/>
                    <w:tr2bl w:val="nil"/>
                  </w:tcBorders>
                  <w:noWrap w:val="0"/>
                  <w:vAlign w:val="center"/>
                </w:tcPr>
                <w:p w14:paraId="360BD878">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贮存点贮存的危险废物应置于容器或包装物中，不应直接散堆</w:t>
                  </w:r>
                </w:p>
              </w:tc>
              <w:tc>
                <w:tcPr>
                  <w:tcW w:w="2193" w:type="pct"/>
                  <w:tcBorders>
                    <w:tl2br w:val="nil"/>
                    <w:tr2bl w:val="nil"/>
                  </w:tcBorders>
                  <w:noWrap w:val="0"/>
                  <w:vAlign w:val="center"/>
                </w:tcPr>
                <w:p w14:paraId="409799B7">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本项目废机油设置专用废油收集桶进行收集。</w:t>
                  </w:r>
                </w:p>
              </w:tc>
              <w:tc>
                <w:tcPr>
                  <w:tcW w:w="603" w:type="pct"/>
                  <w:tcBorders>
                    <w:tl2br w:val="nil"/>
                    <w:tr2bl w:val="nil"/>
                  </w:tcBorders>
                  <w:noWrap w:val="0"/>
                  <w:vAlign w:val="center"/>
                </w:tcPr>
                <w:p w14:paraId="0E417168">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w:t>
                  </w:r>
                </w:p>
              </w:tc>
            </w:tr>
            <w:tr w14:paraId="74725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51" w:type="pct"/>
                  <w:tcBorders>
                    <w:tl2br w:val="nil"/>
                    <w:tr2bl w:val="nil"/>
                  </w:tcBorders>
                  <w:noWrap w:val="0"/>
                  <w:vAlign w:val="center"/>
                </w:tcPr>
                <w:p w14:paraId="217DFBED">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4</w:t>
                  </w:r>
                </w:p>
              </w:tc>
              <w:tc>
                <w:tcPr>
                  <w:tcW w:w="1951" w:type="pct"/>
                  <w:tcBorders>
                    <w:tl2br w:val="nil"/>
                    <w:tr2bl w:val="nil"/>
                  </w:tcBorders>
                  <w:noWrap w:val="0"/>
                  <w:vAlign w:val="center"/>
                </w:tcPr>
                <w:p w14:paraId="13F4C2EC">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贮存点应根据危险废物的形态、物理化学性质、包装形式等，采取防渗、防漏等污染防治措施或采用具有相应功能的装置</w:t>
                  </w:r>
                </w:p>
              </w:tc>
              <w:tc>
                <w:tcPr>
                  <w:tcW w:w="2193" w:type="pct"/>
                  <w:tcBorders>
                    <w:tl2br w:val="nil"/>
                    <w:tr2bl w:val="nil"/>
                  </w:tcBorders>
                  <w:noWrap w:val="0"/>
                  <w:vAlign w:val="center"/>
                </w:tcPr>
                <w:p w14:paraId="38B690F9">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地面采用坚固、防渗、耐腐蚀的材料建造，且表面无裂缝，应设计有堵截泄漏的裙脚，做好贮存区的防风、防雨、防晒工作，按重点污染防控区防渗监控，防渗层为至少1.0m厚黏土层（渗透系数小于1×10</w:t>
                  </w:r>
                  <w:r>
                    <w:rPr>
                      <w:rFonts w:hint="default" w:ascii="Times New Roman" w:hAnsi="Times New Roman" w:eastAsia="宋体" w:cs="Times New Roman"/>
                      <w:color w:val="000000"/>
                      <w:sz w:val="21"/>
                      <w:szCs w:val="21"/>
                      <w:highlight w:val="none"/>
                      <w:vertAlign w:val="superscript"/>
                      <w:lang w:val="en-US" w:eastAsia="zh-CN"/>
                    </w:rPr>
                    <w:t>-7</w:t>
                  </w:r>
                  <w:r>
                    <w:rPr>
                      <w:rFonts w:hint="default" w:ascii="Times New Roman" w:hAnsi="Times New Roman" w:eastAsia="宋体" w:cs="Times New Roman"/>
                      <w:color w:val="000000"/>
                      <w:sz w:val="21"/>
                      <w:szCs w:val="21"/>
                      <w:highlight w:val="none"/>
                      <w:vertAlign w:val="baseline"/>
                      <w:lang w:val="en-US" w:eastAsia="zh-CN"/>
                    </w:rPr>
                    <w:t>cm/s），或2mm厚的高密度聚乙烯，或至少2mm厚的其他人工材料，渗透系数小于1×10</w:t>
                  </w:r>
                  <w:r>
                    <w:rPr>
                      <w:rFonts w:hint="default" w:ascii="Times New Roman" w:hAnsi="Times New Roman" w:eastAsia="宋体" w:cs="Times New Roman"/>
                      <w:color w:val="000000"/>
                      <w:sz w:val="21"/>
                      <w:szCs w:val="21"/>
                      <w:highlight w:val="none"/>
                      <w:vertAlign w:val="superscript"/>
                      <w:lang w:val="en-US" w:eastAsia="zh-CN"/>
                    </w:rPr>
                    <w:t>-10</w:t>
                  </w:r>
                  <w:r>
                    <w:rPr>
                      <w:rFonts w:hint="default" w:ascii="Times New Roman" w:hAnsi="Times New Roman" w:eastAsia="宋体" w:cs="Times New Roman"/>
                      <w:color w:val="000000"/>
                      <w:sz w:val="21"/>
                      <w:szCs w:val="21"/>
                      <w:highlight w:val="none"/>
                      <w:vertAlign w:val="baseline"/>
                      <w:lang w:val="en-US" w:eastAsia="zh-CN"/>
                    </w:rPr>
                    <w:t>cm/s。</w:t>
                  </w:r>
                </w:p>
              </w:tc>
              <w:tc>
                <w:tcPr>
                  <w:tcW w:w="603" w:type="pct"/>
                  <w:tcBorders>
                    <w:tl2br w:val="nil"/>
                    <w:tr2bl w:val="nil"/>
                  </w:tcBorders>
                  <w:noWrap w:val="0"/>
                  <w:vAlign w:val="center"/>
                </w:tcPr>
                <w:p w14:paraId="29F484D8">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w:t>
                  </w:r>
                </w:p>
              </w:tc>
            </w:tr>
            <w:tr w14:paraId="6DB087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51" w:type="pct"/>
                  <w:tcBorders>
                    <w:tl2br w:val="nil"/>
                    <w:tr2bl w:val="nil"/>
                  </w:tcBorders>
                  <w:noWrap w:val="0"/>
                  <w:vAlign w:val="center"/>
                </w:tcPr>
                <w:p w14:paraId="136CF774">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5</w:t>
                  </w:r>
                </w:p>
              </w:tc>
              <w:tc>
                <w:tcPr>
                  <w:tcW w:w="1951" w:type="pct"/>
                  <w:tcBorders>
                    <w:tl2br w:val="nil"/>
                    <w:tr2bl w:val="nil"/>
                  </w:tcBorders>
                  <w:noWrap w:val="0"/>
                  <w:vAlign w:val="center"/>
                </w:tcPr>
                <w:p w14:paraId="02DEF0B9">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贮存点应及时清运贮存的危险废物，实时贮存量不应超过3吨</w:t>
                  </w:r>
                </w:p>
              </w:tc>
              <w:tc>
                <w:tcPr>
                  <w:tcW w:w="2193" w:type="pct"/>
                  <w:tcBorders>
                    <w:tl2br w:val="nil"/>
                    <w:tr2bl w:val="nil"/>
                  </w:tcBorders>
                  <w:noWrap w:val="0"/>
                  <w:vAlign w:val="center"/>
                </w:tcPr>
                <w:p w14:paraId="0A095490">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本项目危废产生量为0.</w:t>
                  </w:r>
                  <w:r>
                    <w:rPr>
                      <w:rFonts w:hint="eastAsia" w:eastAsia="宋体" w:cs="Times New Roman"/>
                      <w:color w:val="000000"/>
                      <w:sz w:val="21"/>
                      <w:szCs w:val="21"/>
                      <w:highlight w:val="none"/>
                      <w:vertAlign w:val="baseline"/>
                      <w:lang w:val="en-US" w:eastAsia="zh-CN"/>
                    </w:rPr>
                    <w:t>1</w:t>
                  </w:r>
                  <w:r>
                    <w:rPr>
                      <w:rFonts w:hint="default" w:ascii="Times New Roman" w:hAnsi="Times New Roman" w:eastAsia="宋体" w:cs="Times New Roman"/>
                      <w:color w:val="000000"/>
                      <w:sz w:val="21"/>
                      <w:szCs w:val="21"/>
                      <w:highlight w:val="none"/>
                      <w:vertAlign w:val="baseline"/>
                      <w:lang w:val="en-US" w:eastAsia="zh-CN"/>
                    </w:rPr>
                    <w:t>t/a，产生周期为1次/a，转运周期为1次/年。</w:t>
                  </w:r>
                </w:p>
              </w:tc>
              <w:tc>
                <w:tcPr>
                  <w:tcW w:w="603" w:type="pct"/>
                  <w:tcBorders>
                    <w:tl2br w:val="nil"/>
                    <w:tr2bl w:val="nil"/>
                  </w:tcBorders>
                  <w:noWrap w:val="0"/>
                  <w:vAlign w:val="center"/>
                </w:tcPr>
                <w:p w14:paraId="3BA2AE1C">
                  <w:pPr>
                    <w:pStyle w:val="2"/>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color w:val="000000"/>
                      <w:sz w:val="21"/>
                      <w:szCs w:val="21"/>
                      <w:highlight w:val="none"/>
                      <w:vertAlign w:val="baseline"/>
                      <w:lang w:val="en-US" w:eastAsia="zh-CN"/>
                    </w:rPr>
                  </w:pPr>
                  <w:r>
                    <w:rPr>
                      <w:rFonts w:hint="default" w:ascii="Times New Roman" w:hAnsi="Times New Roman" w:eastAsia="宋体" w:cs="Times New Roman"/>
                      <w:color w:val="000000"/>
                      <w:sz w:val="21"/>
                      <w:szCs w:val="21"/>
                      <w:highlight w:val="none"/>
                      <w:vertAlign w:val="baseline"/>
                      <w:lang w:val="en-US" w:eastAsia="zh-CN"/>
                    </w:rPr>
                    <w:t>符合</w:t>
                  </w:r>
                </w:p>
              </w:tc>
            </w:tr>
          </w:tbl>
          <w:p w14:paraId="446505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cs="Times New Roman"/>
                <w:color w:val="000000"/>
                <w:kern w:val="2"/>
                <w:sz w:val="24"/>
                <w:szCs w:val="24"/>
                <w:highlight w:val="none"/>
                <w:lang w:val="en-US" w:eastAsia="zh-CN" w:bidi="ar-SA"/>
              </w:rPr>
              <w:t>同时企业危废贮存点按照《危险废物识别标志设置技术规范》（HJ1276-2022）要求设置危险废物标签及危险废物贮存设施标志等</w:t>
            </w:r>
            <w:r>
              <w:rPr>
                <w:rFonts w:hint="eastAsia" w:cs="Times New Roman"/>
                <w:color w:val="000000"/>
                <w:kern w:val="2"/>
                <w:sz w:val="24"/>
                <w:szCs w:val="24"/>
                <w:highlight w:val="none"/>
                <w:lang w:val="en-US" w:eastAsia="zh-CN" w:bidi="ar-SA"/>
              </w:rPr>
              <w:t>，同时根据《中华人民共和国固体废物污染环境防治法》（2020年修订）要求，</w:t>
            </w:r>
            <w:r>
              <w:rPr>
                <w:rFonts w:hint="eastAsia" w:ascii="宋体" w:hAnsi="宋体" w:eastAsia="宋体" w:cs="宋体"/>
                <w:color w:val="000000"/>
                <w:kern w:val="0"/>
                <w:sz w:val="24"/>
                <w:szCs w:val="24"/>
                <w:highlight w:val="none"/>
                <w:lang w:val="en-US" w:eastAsia="zh-CN" w:bidi="ar"/>
              </w:rPr>
              <w:t>贮存危险废物不得超过一年</w:t>
            </w:r>
            <w:r>
              <w:rPr>
                <w:rFonts w:hint="default" w:ascii="Times New Roman" w:hAnsi="Times New Roman" w:eastAsia="宋体" w:cs="Times New Roman"/>
                <w:color w:val="000000"/>
                <w:kern w:val="2"/>
                <w:sz w:val="24"/>
                <w:szCs w:val="24"/>
                <w:highlight w:val="none"/>
                <w:lang w:val="en-US" w:eastAsia="zh-CN" w:bidi="ar-SA"/>
              </w:rPr>
              <w:t>。</w:t>
            </w:r>
          </w:p>
          <w:p w14:paraId="2E8EB5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jc w:val="center"/>
              <w:textAlignment w:val="auto"/>
              <w:rPr>
                <w:rFonts w:hint="default" w:ascii="Times New Roman" w:hAnsi="Times New Roman" w:eastAsia="黑体" w:cs="Times New Roman"/>
                <w:b w:val="0"/>
                <w:bCs w:val="0"/>
                <w:color w:val="000000"/>
                <w:sz w:val="21"/>
                <w:szCs w:val="21"/>
                <w:highlight w:val="none"/>
                <w:lang w:val="en-US" w:eastAsia="zh-CN"/>
              </w:rPr>
            </w:pPr>
            <w:r>
              <w:rPr>
                <w:rFonts w:hint="default" w:ascii="Times New Roman" w:hAnsi="Times New Roman" w:eastAsia="黑体" w:cs="Times New Roman"/>
                <w:b w:val="0"/>
                <w:bCs w:val="0"/>
                <w:color w:val="000000"/>
                <w:sz w:val="21"/>
                <w:szCs w:val="21"/>
                <w:highlight w:val="none"/>
                <w:lang w:val="en-US" w:eastAsia="zh-CN"/>
              </w:rPr>
              <w:t>表4</w:t>
            </w:r>
            <w:r>
              <w:rPr>
                <w:rFonts w:hint="eastAsia" w:eastAsia="黑体" w:cs="Times New Roman"/>
                <w:b w:val="0"/>
                <w:bCs w:val="0"/>
                <w:color w:val="000000"/>
                <w:sz w:val="21"/>
                <w:szCs w:val="21"/>
                <w:highlight w:val="none"/>
                <w:lang w:val="en-US" w:eastAsia="zh-CN"/>
              </w:rPr>
              <w:t>-13</w:t>
            </w:r>
            <w:r>
              <w:rPr>
                <w:rFonts w:hint="default" w:ascii="Times New Roman" w:hAnsi="Times New Roman" w:eastAsia="黑体" w:cs="Times New Roman"/>
                <w:b w:val="0"/>
                <w:bCs w:val="0"/>
                <w:color w:val="000000"/>
                <w:sz w:val="21"/>
                <w:szCs w:val="21"/>
                <w:highlight w:val="none"/>
                <w:lang w:val="en-US" w:eastAsia="zh-CN"/>
              </w:rPr>
              <w:t>建设项目危险废物贮存场所（设施）基本情况样表</w:t>
            </w:r>
          </w:p>
          <w:tbl>
            <w:tblPr>
              <w:tblStyle w:val="24"/>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5"/>
              <w:gridCol w:w="846"/>
              <w:gridCol w:w="774"/>
              <w:gridCol w:w="1040"/>
              <w:gridCol w:w="786"/>
              <w:gridCol w:w="689"/>
              <w:gridCol w:w="762"/>
              <w:gridCol w:w="871"/>
              <w:gridCol w:w="792"/>
              <w:gridCol w:w="781"/>
            </w:tblGrid>
            <w:tr w14:paraId="60170D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24" w:type="pct"/>
                  <w:tcBorders>
                    <w:tl2br w:val="nil"/>
                    <w:tr2bl w:val="nil"/>
                  </w:tcBorders>
                  <w:noWrap w:val="0"/>
                  <w:vAlign w:val="center"/>
                </w:tcPr>
                <w:p w14:paraId="04450403">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序号</w:t>
                  </w:r>
                </w:p>
              </w:tc>
              <w:tc>
                <w:tcPr>
                  <w:tcW w:w="550" w:type="pct"/>
                  <w:tcBorders>
                    <w:tl2br w:val="nil"/>
                    <w:tr2bl w:val="nil"/>
                  </w:tcBorders>
                  <w:noWrap w:val="0"/>
                  <w:vAlign w:val="center"/>
                </w:tcPr>
                <w:p w14:paraId="65EDD222">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贮存场所（设施）</w:t>
                  </w:r>
                </w:p>
                <w:p w14:paraId="13888371">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名称</w:t>
                  </w:r>
                </w:p>
              </w:tc>
              <w:tc>
                <w:tcPr>
                  <w:tcW w:w="503" w:type="pct"/>
                  <w:tcBorders>
                    <w:tl2br w:val="nil"/>
                    <w:tr2bl w:val="nil"/>
                  </w:tcBorders>
                  <w:noWrap w:val="0"/>
                  <w:vAlign w:val="center"/>
                </w:tcPr>
                <w:p w14:paraId="54D67BE8">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危险废物名称</w:t>
                  </w:r>
                </w:p>
              </w:tc>
              <w:tc>
                <w:tcPr>
                  <w:tcW w:w="676" w:type="pct"/>
                  <w:tcBorders>
                    <w:tl2br w:val="nil"/>
                    <w:tr2bl w:val="nil"/>
                  </w:tcBorders>
                  <w:noWrap w:val="0"/>
                  <w:vAlign w:val="center"/>
                </w:tcPr>
                <w:p w14:paraId="6E08BE5D">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危险废物类别</w:t>
                  </w:r>
                </w:p>
              </w:tc>
              <w:tc>
                <w:tcPr>
                  <w:tcW w:w="511" w:type="pct"/>
                  <w:tcBorders>
                    <w:tl2br w:val="nil"/>
                    <w:tr2bl w:val="nil"/>
                  </w:tcBorders>
                  <w:noWrap w:val="0"/>
                  <w:vAlign w:val="center"/>
                </w:tcPr>
                <w:p w14:paraId="60CAA916">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危险废物代码</w:t>
                  </w:r>
                </w:p>
              </w:tc>
              <w:tc>
                <w:tcPr>
                  <w:tcW w:w="448" w:type="pct"/>
                  <w:tcBorders>
                    <w:tl2br w:val="nil"/>
                    <w:tr2bl w:val="nil"/>
                  </w:tcBorders>
                  <w:noWrap w:val="0"/>
                  <w:vAlign w:val="center"/>
                </w:tcPr>
                <w:p w14:paraId="6502268B">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位置</w:t>
                  </w:r>
                </w:p>
              </w:tc>
              <w:tc>
                <w:tcPr>
                  <w:tcW w:w="495" w:type="pct"/>
                  <w:tcBorders>
                    <w:tl2br w:val="nil"/>
                    <w:tr2bl w:val="nil"/>
                  </w:tcBorders>
                  <w:noWrap w:val="0"/>
                  <w:vAlign w:val="center"/>
                </w:tcPr>
                <w:p w14:paraId="4AB86894">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占地面积</w:t>
                  </w:r>
                </w:p>
              </w:tc>
              <w:tc>
                <w:tcPr>
                  <w:tcW w:w="566" w:type="pct"/>
                  <w:tcBorders>
                    <w:tl2br w:val="nil"/>
                    <w:tr2bl w:val="nil"/>
                  </w:tcBorders>
                  <w:noWrap w:val="0"/>
                  <w:vAlign w:val="center"/>
                </w:tcPr>
                <w:p w14:paraId="30074E58">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贮存方式</w:t>
                  </w:r>
                </w:p>
              </w:tc>
              <w:tc>
                <w:tcPr>
                  <w:tcW w:w="515" w:type="pct"/>
                  <w:tcBorders>
                    <w:tl2br w:val="nil"/>
                    <w:tr2bl w:val="nil"/>
                  </w:tcBorders>
                  <w:noWrap w:val="0"/>
                  <w:vAlign w:val="center"/>
                </w:tcPr>
                <w:p w14:paraId="0FF25F23">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贮存</w:t>
                  </w:r>
                </w:p>
                <w:p w14:paraId="4603DAB0">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能力</w:t>
                  </w:r>
                </w:p>
              </w:tc>
              <w:tc>
                <w:tcPr>
                  <w:tcW w:w="507" w:type="pct"/>
                  <w:tcBorders>
                    <w:tl2br w:val="nil"/>
                    <w:tr2bl w:val="nil"/>
                  </w:tcBorders>
                  <w:noWrap w:val="0"/>
                  <w:vAlign w:val="center"/>
                </w:tcPr>
                <w:p w14:paraId="0A2A543A">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贮存</w:t>
                  </w:r>
                </w:p>
                <w:p w14:paraId="2483995F">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周期</w:t>
                  </w:r>
                </w:p>
              </w:tc>
            </w:tr>
            <w:tr w14:paraId="7384D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24" w:type="pct"/>
                  <w:tcBorders>
                    <w:tl2br w:val="nil"/>
                    <w:tr2bl w:val="nil"/>
                  </w:tcBorders>
                  <w:noWrap w:val="0"/>
                  <w:vAlign w:val="center"/>
                </w:tcPr>
                <w:p w14:paraId="1F42880C">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550" w:type="pct"/>
                  <w:tcBorders>
                    <w:tl2br w:val="nil"/>
                    <w:tr2bl w:val="nil"/>
                  </w:tcBorders>
                  <w:noWrap w:val="0"/>
                  <w:vAlign w:val="center"/>
                </w:tcPr>
                <w:p w14:paraId="0558D182">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危险废物暂存点</w:t>
                  </w:r>
                </w:p>
              </w:tc>
              <w:tc>
                <w:tcPr>
                  <w:tcW w:w="503" w:type="pct"/>
                  <w:tcBorders>
                    <w:tl2br w:val="nil"/>
                    <w:tr2bl w:val="nil"/>
                  </w:tcBorders>
                  <w:noWrap w:val="0"/>
                  <w:vAlign w:val="center"/>
                </w:tcPr>
                <w:p w14:paraId="017414C7">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废</w:t>
                  </w:r>
                  <w:r>
                    <w:rPr>
                      <w:rFonts w:hint="eastAsia" w:cs="Times New Roman"/>
                      <w:color w:val="000000"/>
                      <w:kern w:val="0"/>
                      <w:sz w:val="21"/>
                      <w:szCs w:val="21"/>
                      <w:highlight w:val="none"/>
                      <w:lang w:val="en-US" w:eastAsia="zh-CN"/>
                    </w:rPr>
                    <w:t>机油</w:t>
                  </w:r>
                </w:p>
              </w:tc>
              <w:tc>
                <w:tcPr>
                  <w:tcW w:w="676" w:type="pct"/>
                  <w:tcBorders>
                    <w:tl2br w:val="nil"/>
                    <w:tr2bl w:val="nil"/>
                  </w:tcBorders>
                  <w:noWrap w:val="0"/>
                  <w:vAlign w:val="center"/>
                </w:tcPr>
                <w:p w14:paraId="09B8B18C">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z w:val="21"/>
                      <w:szCs w:val="21"/>
                      <w:highlight w:val="none"/>
                    </w:rPr>
                    <w:t>HW08废矿物油与含矿物油废物</w:t>
                  </w:r>
                </w:p>
              </w:tc>
              <w:tc>
                <w:tcPr>
                  <w:tcW w:w="511" w:type="pct"/>
                  <w:tcBorders>
                    <w:tl2br w:val="nil"/>
                    <w:tr2bl w:val="nil"/>
                  </w:tcBorders>
                  <w:noWrap w:val="0"/>
                  <w:vAlign w:val="center"/>
                </w:tcPr>
                <w:p w14:paraId="5F698340">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default" w:ascii="Times New Roman" w:hAnsi="Times New Roman" w:eastAsia="Times New Roman" w:cs="Times New Roman"/>
                      <w:color w:val="000000"/>
                      <w:spacing w:val="-1"/>
                      <w:sz w:val="21"/>
                      <w:szCs w:val="21"/>
                      <w:highlight w:val="none"/>
                    </w:rPr>
                    <w:t>900-214-0</w:t>
                  </w:r>
                  <w:r>
                    <w:rPr>
                      <w:rFonts w:hint="default" w:ascii="Times New Roman" w:hAnsi="Times New Roman" w:eastAsia="Times New Roman" w:cs="Times New Roman"/>
                      <w:color w:val="000000"/>
                      <w:sz w:val="21"/>
                      <w:szCs w:val="21"/>
                      <w:highlight w:val="none"/>
                    </w:rPr>
                    <w:t>8</w:t>
                  </w:r>
                </w:p>
              </w:tc>
              <w:tc>
                <w:tcPr>
                  <w:tcW w:w="448" w:type="pct"/>
                  <w:tcBorders>
                    <w:tl2br w:val="nil"/>
                    <w:tr2bl w:val="nil"/>
                  </w:tcBorders>
                  <w:noWrap w:val="0"/>
                  <w:vAlign w:val="center"/>
                </w:tcPr>
                <w:p w14:paraId="1022633C">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kern w:val="0"/>
                      <w:sz w:val="21"/>
                      <w:szCs w:val="21"/>
                      <w:highlight w:val="none"/>
                      <w:lang w:val="en-US" w:eastAsia="zh-CN"/>
                    </w:rPr>
                    <w:t>厂区</w:t>
                  </w:r>
                  <w:r>
                    <w:rPr>
                      <w:rFonts w:hint="eastAsia" w:cs="Times New Roman"/>
                      <w:color w:val="000000"/>
                      <w:kern w:val="0"/>
                      <w:sz w:val="21"/>
                      <w:szCs w:val="21"/>
                      <w:highlight w:val="none"/>
                      <w:lang w:val="en-US" w:eastAsia="zh-CN"/>
                    </w:rPr>
                    <w:t>南侧</w:t>
                  </w:r>
                </w:p>
              </w:tc>
              <w:tc>
                <w:tcPr>
                  <w:tcW w:w="495" w:type="pct"/>
                  <w:tcBorders>
                    <w:tl2br w:val="nil"/>
                    <w:tr2bl w:val="nil"/>
                  </w:tcBorders>
                  <w:noWrap w:val="0"/>
                  <w:vAlign w:val="center"/>
                </w:tcPr>
                <w:p w14:paraId="4D45DE39">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10</w:t>
                  </w:r>
                  <w:r>
                    <w:rPr>
                      <w:rFonts w:hint="default" w:ascii="Times New Roman" w:hAnsi="Times New Roman" w:eastAsia="宋体" w:cs="Times New Roman"/>
                      <w:color w:val="000000"/>
                      <w:kern w:val="0"/>
                      <w:sz w:val="21"/>
                      <w:szCs w:val="21"/>
                      <w:highlight w:val="none"/>
                      <w:lang w:val="en-US" w:eastAsia="zh-CN"/>
                    </w:rPr>
                    <w:t>m</w:t>
                  </w:r>
                  <w:r>
                    <w:rPr>
                      <w:rFonts w:hint="default" w:ascii="Times New Roman" w:hAnsi="Times New Roman" w:eastAsia="宋体" w:cs="Times New Roman"/>
                      <w:color w:val="000000"/>
                      <w:kern w:val="0"/>
                      <w:sz w:val="21"/>
                      <w:szCs w:val="21"/>
                      <w:highlight w:val="none"/>
                      <w:vertAlign w:val="superscript"/>
                      <w:lang w:val="en-US" w:eastAsia="zh-CN"/>
                    </w:rPr>
                    <w:t>2</w:t>
                  </w:r>
                </w:p>
              </w:tc>
              <w:tc>
                <w:tcPr>
                  <w:tcW w:w="566" w:type="pct"/>
                  <w:tcBorders>
                    <w:tl2br w:val="nil"/>
                    <w:tr2bl w:val="nil"/>
                  </w:tcBorders>
                  <w:noWrap w:val="0"/>
                  <w:vAlign w:val="center"/>
                </w:tcPr>
                <w:p w14:paraId="481E33B9">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集中封闭存放</w:t>
                  </w:r>
                </w:p>
              </w:tc>
              <w:tc>
                <w:tcPr>
                  <w:tcW w:w="515" w:type="pct"/>
                  <w:tcBorders>
                    <w:tl2br w:val="nil"/>
                    <w:tr2bl w:val="nil"/>
                  </w:tcBorders>
                  <w:noWrap w:val="0"/>
                  <w:vAlign w:val="center"/>
                </w:tcPr>
                <w:p w14:paraId="12F8C1FF">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r>
                    <w:rPr>
                      <w:rFonts w:hint="default" w:ascii="Times New Roman" w:hAnsi="Times New Roman" w:cs="Times New Roman"/>
                      <w:color w:val="000000"/>
                      <w:kern w:val="0"/>
                      <w:sz w:val="21"/>
                      <w:szCs w:val="21"/>
                      <w:highlight w:val="none"/>
                      <w:lang w:val="en-US" w:eastAsia="zh-CN"/>
                    </w:rPr>
                    <w:t>.0</w:t>
                  </w:r>
                  <w:r>
                    <w:rPr>
                      <w:rFonts w:hint="default" w:ascii="Times New Roman" w:hAnsi="Times New Roman" w:eastAsia="宋体" w:cs="Times New Roman"/>
                      <w:color w:val="000000"/>
                      <w:kern w:val="0"/>
                      <w:sz w:val="21"/>
                      <w:szCs w:val="21"/>
                      <w:highlight w:val="none"/>
                      <w:lang w:val="en-US" w:eastAsia="zh-CN"/>
                    </w:rPr>
                    <w:t>t/a</w:t>
                  </w:r>
                </w:p>
              </w:tc>
              <w:tc>
                <w:tcPr>
                  <w:tcW w:w="507" w:type="pct"/>
                  <w:tcBorders>
                    <w:tl2br w:val="nil"/>
                    <w:tr2bl w:val="nil"/>
                  </w:tcBorders>
                  <w:noWrap w:val="0"/>
                  <w:vAlign w:val="center"/>
                </w:tcPr>
                <w:p w14:paraId="557075E6">
                  <w:pPr>
                    <w:keepNext w:val="0"/>
                    <w:keepLines w:val="0"/>
                    <w:pageBreakBefore w:val="0"/>
                    <w:widowControl w:val="0"/>
                    <w:kinsoku/>
                    <w:wordWrap/>
                    <w:overflowPunct/>
                    <w:topLinePunct/>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12个月</w:t>
                  </w:r>
                </w:p>
              </w:tc>
            </w:tr>
          </w:tbl>
          <w:p w14:paraId="577B9CB7">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（4）生活垃圾</w:t>
            </w:r>
          </w:p>
          <w:p w14:paraId="0C3582B7">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本项目</w:t>
            </w:r>
            <w:r>
              <w:rPr>
                <w:rFonts w:hint="eastAsia" w:ascii="Times New Roman" w:hAnsi="Times New Roman" w:cs="Times New Roman"/>
                <w:color w:val="000000"/>
                <w:sz w:val="24"/>
                <w:szCs w:val="24"/>
                <w:highlight w:val="none"/>
                <w:lang w:val="en-US" w:eastAsia="zh-CN"/>
              </w:rPr>
              <w:t>设置</w:t>
            </w:r>
            <w:r>
              <w:rPr>
                <w:rFonts w:hint="default" w:ascii="Times New Roman" w:hAnsi="Times New Roman" w:cs="Times New Roman"/>
                <w:color w:val="000000"/>
                <w:sz w:val="24"/>
                <w:szCs w:val="24"/>
                <w:highlight w:val="none"/>
                <w:lang w:val="en-US" w:eastAsia="zh-CN"/>
              </w:rPr>
              <w:t>员工</w:t>
            </w:r>
            <w:r>
              <w:rPr>
                <w:rFonts w:hint="eastAsia" w:ascii="Times New Roman" w:hAnsi="Times New Roman" w:cs="Times New Roman"/>
                <w:color w:val="000000"/>
                <w:sz w:val="24"/>
                <w:szCs w:val="24"/>
                <w:highlight w:val="none"/>
                <w:lang w:val="en-US" w:eastAsia="zh-CN"/>
              </w:rPr>
              <w:t>25人</w:t>
            </w:r>
            <w:r>
              <w:rPr>
                <w:rFonts w:hint="default" w:ascii="Times New Roman" w:hAnsi="Times New Roman" w:cs="Times New Roman"/>
                <w:color w:val="000000"/>
                <w:sz w:val="24"/>
                <w:szCs w:val="24"/>
                <w:highlight w:val="none"/>
                <w:lang w:val="en-US" w:eastAsia="zh-CN"/>
              </w:rPr>
              <w:t>，年工作</w:t>
            </w:r>
            <w:r>
              <w:rPr>
                <w:rFonts w:hint="eastAsia" w:ascii="Times New Roman" w:hAnsi="Times New Roman" w:cs="Times New Roman"/>
                <w:color w:val="000000"/>
                <w:sz w:val="24"/>
                <w:szCs w:val="24"/>
                <w:highlight w:val="none"/>
                <w:lang w:val="en-US" w:eastAsia="zh-CN"/>
              </w:rPr>
              <w:t>330</w:t>
            </w:r>
            <w:r>
              <w:rPr>
                <w:rFonts w:hint="default" w:ascii="Times New Roman" w:hAnsi="Times New Roman" w:cs="Times New Roman"/>
                <w:color w:val="000000"/>
                <w:sz w:val="24"/>
                <w:szCs w:val="24"/>
                <w:highlight w:val="none"/>
                <w:lang w:val="en-US" w:eastAsia="zh-CN"/>
              </w:rPr>
              <w:t>天，生活垃圾产生量按每人每天1kg计算，则生活垃圾产生量约为</w:t>
            </w:r>
            <w:r>
              <w:rPr>
                <w:rFonts w:hint="eastAsia" w:ascii="Times New Roman" w:hAnsi="Times New Roman" w:cs="Times New Roman"/>
                <w:color w:val="000000"/>
                <w:sz w:val="24"/>
                <w:szCs w:val="24"/>
                <w:highlight w:val="none"/>
                <w:lang w:val="en-US" w:eastAsia="zh-CN"/>
              </w:rPr>
              <w:t>8.25</w:t>
            </w:r>
            <w:r>
              <w:rPr>
                <w:rFonts w:hint="default" w:ascii="Times New Roman" w:hAnsi="Times New Roman" w:cs="Times New Roman"/>
                <w:color w:val="000000"/>
                <w:sz w:val="24"/>
                <w:szCs w:val="24"/>
                <w:highlight w:val="none"/>
                <w:lang w:val="en-US" w:eastAsia="zh-CN"/>
              </w:rPr>
              <w:t>t/a，厂内设置垃圾桶统一收集，由当地环卫部门定期清运处理。</w:t>
            </w:r>
          </w:p>
          <w:p w14:paraId="7C048A4B">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after="0"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本项目固体废物产生及处理措施如下表所示。</w:t>
            </w:r>
          </w:p>
          <w:p w14:paraId="0DB89B58">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黑体" w:cs="Times New Roman"/>
                <w:color w:val="000000"/>
                <w:kern w:val="2"/>
                <w:sz w:val="21"/>
                <w:szCs w:val="24"/>
                <w:highlight w:val="none"/>
              </w:rPr>
            </w:pPr>
            <w:r>
              <w:rPr>
                <w:rFonts w:hint="default" w:ascii="Times New Roman" w:hAnsi="Times New Roman" w:eastAsia="黑体" w:cs="Times New Roman"/>
                <w:color w:val="000000"/>
                <w:kern w:val="2"/>
                <w:sz w:val="21"/>
                <w:szCs w:val="24"/>
                <w:highlight w:val="none"/>
              </w:rPr>
              <w:t>表</w:t>
            </w:r>
            <w:r>
              <w:rPr>
                <w:rFonts w:hint="default" w:ascii="Times New Roman" w:hAnsi="Times New Roman" w:eastAsia="黑体" w:cs="Times New Roman"/>
                <w:color w:val="000000"/>
                <w:kern w:val="2"/>
                <w:sz w:val="21"/>
                <w:szCs w:val="24"/>
                <w:highlight w:val="none"/>
                <w:lang w:val="en-US" w:eastAsia="zh-CN"/>
              </w:rPr>
              <w:t>4</w:t>
            </w:r>
            <w:r>
              <w:rPr>
                <w:rFonts w:hint="eastAsia" w:eastAsia="黑体" w:cs="Times New Roman"/>
                <w:color w:val="000000"/>
                <w:kern w:val="2"/>
                <w:sz w:val="21"/>
                <w:szCs w:val="24"/>
                <w:highlight w:val="none"/>
                <w:lang w:val="en-US" w:eastAsia="zh-CN"/>
              </w:rPr>
              <w:t>-14</w:t>
            </w:r>
            <w:r>
              <w:rPr>
                <w:rFonts w:hint="default" w:ascii="Times New Roman" w:hAnsi="Times New Roman" w:eastAsia="黑体" w:cs="Times New Roman"/>
                <w:color w:val="000000"/>
                <w:kern w:val="2"/>
                <w:sz w:val="21"/>
                <w:szCs w:val="24"/>
                <w:highlight w:val="none"/>
              </w:rPr>
              <w:t>固体废物产生及处置情况一览表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
              <w:gridCol w:w="886"/>
              <w:gridCol w:w="886"/>
              <w:gridCol w:w="740"/>
              <w:gridCol w:w="671"/>
              <w:gridCol w:w="966"/>
              <w:gridCol w:w="860"/>
              <w:gridCol w:w="1795"/>
            </w:tblGrid>
            <w:tr w14:paraId="1BF767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5" w:type="pct"/>
                  <w:tcBorders>
                    <w:tl2br w:val="nil"/>
                    <w:tr2bl w:val="nil"/>
                  </w:tcBorders>
                  <w:noWrap/>
                  <w:vAlign w:val="center"/>
                </w:tcPr>
                <w:p w14:paraId="53DD44DE">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固体废物产污环节</w:t>
                  </w:r>
                </w:p>
              </w:tc>
              <w:tc>
                <w:tcPr>
                  <w:tcW w:w="576" w:type="pct"/>
                  <w:tcBorders>
                    <w:tl2br w:val="nil"/>
                    <w:tr2bl w:val="nil"/>
                  </w:tcBorders>
                  <w:noWrap/>
                  <w:vAlign w:val="center"/>
                </w:tcPr>
                <w:p w14:paraId="7F4AF3B2">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固体废物名称</w:t>
                  </w:r>
                </w:p>
              </w:tc>
              <w:tc>
                <w:tcPr>
                  <w:tcW w:w="576" w:type="pct"/>
                  <w:tcBorders>
                    <w:tl2br w:val="nil"/>
                    <w:tr2bl w:val="nil"/>
                  </w:tcBorders>
                  <w:noWrap/>
                  <w:vAlign w:val="center"/>
                </w:tcPr>
                <w:p w14:paraId="2B00CBB7">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固体废物属性</w:t>
                  </w:r>
                </w:p>
              </w:tc>
              <w:tc>
                <w:tcPr>
                  <w:tcW w:w="481" w:type="pct"/>
                  <w:tcBorders>
                    <w:tl2br w:val="nil"/>
                    <w:tr2bl w:val="nil"/>
                  </w:tcBorders>
                  <w:noWrap/>
                  <w:vAlign w:val="center"/>
                </w:tcPr>
                <w:p w14:paraId="56861D26">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物理形状</w:t>
                  </w:r>
                </w:p>
              </w:tc>
              <w:tc>
                <w:tcPr>
                  <w:tcW w:w="436" w:type="pct"/>
                  <w:tcBorders>
                    <w:tl2br w:val="nil"/>
                    <w:tr2bl w:val="nil"/>
                  </w:tcBorders>
                  <w:noWrap/>
                  <w:vAlign w:val="center"/>
                </w:tcPr>
                <w:p w14:paraId="538A6363">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年度产生量t/a</w:t>
                  </w:r>
                </w:p>
              </w:tc>
              <w:tc>
                <w:tcPr>
                  <w:tcW w:w="628" w:type="pct"/>
                  <w:tcBorders>
                    <w:tl2br w:val="nil"/>
                    <w:tr2bl w:val="nil"/>
                  </w:tcBorders>
                  <w:noWrap/>
                  <w:vAlign w:val="center"/>
                </w:tcPr>
                <w:p w14:paraId="63CDEC70">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贮存方式</w:t>
                  </w:r>
                </w:p>
              </w:tc>
              <w:tc>
                <w:tcPr>
                  <w:tcW w:w="559" w:type="pct"/>
                  <w:tcBorders>
                    <w:tl2br w:val="nil"/>
                    <w:tr2bl w:val="nil"/>
                  </w:tcBorders>
                  <w:noWrap/>
                  <w:vAlign w:val="center"/>
                </w:tcPr>
                <w:p w14:paraId="3F28020C">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利用处置方式</w:t>
                  </w:r>
                </w:p>
              </w:tc>
              <w:tc>
                <w:tcPr>
                  <w:tcW w:w="1167" w:type="pct"/>
                  <w:tcBorders>
                    <w:tl2br w:val="nil"/>
                    <w:tr2bl w:val="nil"/>
                  </w:tcBorders>
                  <w:noWrap/>
                  <w:vAlign w:val="center"/>
                </w:tcPr>
                <w:p w14:paraId="49523B84">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环境管理要求</w:t>
                  </w:r>
                </w:p>
              </w:tc>
            </w:tr>
            <w:tr w14:paraId="745938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5" w:type="pct"/>
                  <w:tcBorders>
                    <w:tl2br w:val="nil"/>
                    <w:tr2bl w:val="nil"/>
                  </w:tcBorders>
                  <w:noWrap/>
                  <w:vAlign w:val="center"/>
                </w:tcPr>
                <w:p w14:paraId="01174B35">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气密性检测</w:t>
                  </w:r>
                </w:p>
              </w:tc>
              <w:tc>
                <w:tcPr>
                  <w:tcW w:w="576" w:type="pct"/>
                  <w:tcBorders>
                    <w:tl2br w:val="nil"/>
                    <w:tr2bl w:val="nil"/>
                  </w:tcBorders>
                  <w:noWrap/>
                  <w:vAlign w:val="center"/>
                </w:tcPr>
                <w:p w14:paraId="6BFD0E5D">
                  <w:pPr>
                    <w:pStyle w:val="36"/>
                    <w:pageBreakBefore w:val="0"/>
                    <w:kinsoku/>
                    <w:overflowPunct/>
                    <w:bidi w:val="0"/>
                    <w:adjustRightInd w:val="0"/>
                    <w:snapToGrid w:val="0"/>
                    <w:spacing w:line="240" w:lineRule="auto"/>
                    <w:ind w:left="0" w:leftChars="0" w:right="0" w:firstLine="0"/>
                    <w:jc w:val="center"/>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废钢瓶</w:t>
                  </w:r>
                </w:p>
              </w:tc>
              <w:tc>
                <w:tcPr>
                  <w:tcW w:w="576" w:type="pct"/>
                  <w:tcBorders>
                    <w:tl2br w:val="nil"/>
                    <w:tr2bl w:val="nil"/>
                  </w:tcBorders>
                  <w:noWrap/>
                  <w:vAlign w:val="center"/>
                </w:tcPr>
                <w:p w14:paraId="4DFDE9F4">
                  <w:pPr>
                    <w:keepNext w:val="0"/>
                    <w:keepLines w:val="0"/>
                    <w:pageBreakBefore w:val="0"/>
                    <w:widowControl/>
                    <w:suppressLineNumbers w:val="0"/>
                    <w:kinsoku/>
                    <w:overflowPunct/>
                    <w:bidi w:val="0"/>
                    <w:adjustRightInd w:val="0"/>
                    <w:snapToGrid w:val="0"/>
                    <w:ind w:left="0" w:leftChars="0" w:right="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lang w:val="en-US" w:eastAsia="zh-CN" w:bidi="ar-SA"/>
                    </w:rPr>
                    <w:t>一般固体废物</w:t>
                  </w:r>
                  <w:r>
                    <w:rPr>
                      <w:rFonts w:hint="eastAsia" w:ascii="Times New Roman" w:hAnsi="Times New Roman" w:eastAsia="宋体" w:cs="Times New Roman"/>
                      <w:color w:val="000000"/>
                      <w:kern w:val="0"/>
                      <w:sz w:val="21"/>
                      <w:szCs w:val="21"/>
                      <w:highlight w:val="none"/>
                      <w:lang w:val="en-US" w:eastAsia="zh-CN" w:bidi="ar-SA"/>
                    </w:rPr>
                    <w:t>900-099-S17</w:t>
                  </w:r>
                </w:p>
              </w:tc>
              <w:tc>
                <w:tcPr>
                  <w:tcW w:w="481" w:type="pct"/>
                  <w:tcBorders>
                    <w:tl2br w:val="nil"/>
                    <w:tr2bl w:val="nil"/>
                  </w:tcBorders>
                  <w:noWrap/>
                  <w:vAlign w:val="center"/>
                </w:tcPr>
                <w:p w14:paraId="777CC100">
                  <w:pPr>
                    <w:pStyle w:val="36"/>
                    <w:pageBreakBefore w:val="0"/>
                    <w:kinsoku/>
                    <w:overflowPunct/>
                    <w:bidi w:val="0"/>
                    <w:adjustRightInd w:val="0"/>
                    <w:snapToGrid w:val="0"/>
                    <w:spacing w:line="240" w:lineRule="auto"/>
                    <w:ind w:left="0" w:leftChars="0" w:right="0" w:firstLine="0"/>
                    <w:jc w:val="center"/>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固态</w:t>
                  </w:r>
                </w:p>
              </w:tc>
              <w:tc>
                <w:tcPr>
                  <w:tcW w:w="436" w:type="pct"/>
                  <w:tcBorders>
                    <w:tl2br w:val="nil"/>
                    <w:tr2bl w:val="nil"/>
                  </w:tcBorders>
                  <w:noWrap/>
                  <w:vAlign w:val="center"/>
                </w:tcPr>
                <w:p w14:paraId="0B9D16E5">
                  <w:pPr>
                    <w:pStyle w:val="36"/>
                    <w:pageBreakBefore w:val="0"/>
                    <w:kinsoku/>
                    <w:overflowPunct/>
                    <w:bidi w:val="0"/>
                    <w:adjustRightInd w:val="0"/>
                    <w:snapToGrid w:val="0"/>
                    <w:spacing w:line="240" w:lineRule="auto"/>
                    <w:ind w:left="0" w:leftChars="0" w:right="0" w:rightChars="0" w:firstLine="0" w:firstLineChars="0"/>
                    <w:jc w:val="center"/>
                    <w:rPr>
                      <w:rFonts w:hint="default"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0.2</w:t>
                  </w:r>
                </w:p>
              </w:tc>
              <w:tc>
                <w:tcPr>
                  <w:tcW w:w="628" w:type="pct"/>
                  <w:tcBorders>
                    <w:tl2br w:val="nil"/>
                    <w:tr2bl w:val="nil"/>
                  </w:tcBorders>
                  <w:noWrap/>
                  <w:vAlign w:val="center"/>
                </w:tcPr>
                <w:p w14:paraId="6A82B508">
                  <w:pPr>
                    <w:pStyle w:val="36"/>
                    <w:pageBreakBefore w:val="0"/>
                    <w:kinsoku/>
                    <w:overflowPunct/>
                    <w:bidi w:val="0"/>
                    <w:adjustRightInd w:val="0"/>
                    <w:snapToGrid w:val="0"/>
                    <w:spacing w:line="240" w:lineRule="auto"/>
                    <w:ind w:left="0" w:leftChars="0" w:right="0" w:righ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经废钢瓶暂存区暂存</w:t>
                  </w:r>
                </w:p>
              </w:tc>
              <w:tc>
                <w:tcPr>
                  <w:tcW w:w="559" w:type="pct"/>
                  <w:tcBorders>
                    <w:tl2br w:val="nil"/>
                    <w:tr2bl w:val="nil"/>
                  </w:tcBorders>
                  <w:noWrap/>
                  <w:vAlign w:val="center"/>
                </w:tcPr>
                <w:p w14:paraId="55BA2704">
                  <w:pPr>
                    <w:pStyle w:val="36"/>
                    <w:pageBreakBefore w:val="0"/>
                    <w:kinsoku/>
                    <w:overflowPunct/>
                    <w:bidi w:val="0"/>
                    <w:adjustRightInd w:val="0"/>
                    <w:snapToGrid w:val="0"/>
                    <w:spacing w:line="240" w:lineRule="auto"/>
                    <w:ind w:left="0" w:leftChars="0" w:right="0" w:firstLine="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厂家回收</w:t>
                  </w:r>
                </w:p>
              </w:tc>
              <w:tc>
                <w:tcPr>
                  <w:tcW w:w="1167" w:type="pct"/>
                  <w:tcBorders>
                    <w:tl2br w:val="nil"/>
                    <w:tr2bl w:val="nil"/>
                  </w:tcBorders>
                  <w:noWrap/>
                  <w:vAlign w:val="center"/>
                </w:tcPr>
                <w:p w14:paraId="5629200E">
                  <w:pPr>
                    <w:pStyle w:val="36"/>
                    <w:keepNext w:val="0"/>
                    <w:keepLines w:val="0"/>
                    <w:pageBreakBefore w:val="0"/>
                    <w:widowControl w:val="0"/>
                    <w:kinsoku/>
                    <w:wordWrap w:val="0"/>
                    <w:overflowPunct/>
                    <w:topLinePunct/>
                    <w:autoSpaceDE/>
                    <w:autoSpaceDN/>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《一般工业固体废物贮存和填埋污染控制标准》（GB18599-2020）要求</w:t>
                  </w:r>
                </w:p>
              </w:tc>
            </w:tr>
            <w:tr w14:paraId="07F19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5" w:type="pct"/>
                  <w:tcBorders>
                    <w:tl2br w:val="nil"/>
                    <w:tr2bl w:val="nil"/>
                  </w:tcBorders>
                  <w:noWrap/>
                  <w:vAlign w:val="center"/>
                </w:tcPr>
                <w:p w14:paraId="2E4768AD">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设备运行</w:t>
                  </w:r>
                  <w:r>
                    <w:rPr>
                      <w:rFonts w:hint="eastAsia" w:cs="Times New Roman"/>
                      <w:color w:val="000000"/>
                      <w:sz w:val="21"/>
                      <w:szCs w:val="21"/>
                      <w:highlight w:val="none"/>
                      <w:lang w:val="en-US" w:eastAsia="zh-CN"/>
                    </w:rPr>
                    <w:t>、维护</w:t>
                  </w:r>
                </w:p>
              </w:tc>
              <w:tc>
                <w:tcPr>
                  <w:tcW w:w="576" w:type="pct"/>
                  <w:tcBorders>
                    <w:tl2br w:val="nil"/>
                    <w:tr2bl w:val="nil"/>
                  </w:tcBorders>
                  <w:noWrap/>
                  <w:vAlign w:val="center"/>
                </w:tcPr>
                <w:p w14:paraId="309A4587">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eastAsia="zh-CN"/>
                    </w:rPr>
                    <w:t>废矿物油类</w:t>
                  </w:r>
                </w:p>
              </w:tc>
              <w:tc>
                <w:tcPr>
                  <w:tcW w:w="576" w:type="pct"/>
                  <w:tcBorders>
                    <w:tl2br w:val="nil"/>
                    <w:tr2bl w:val="nil"/>
                  </w:tcBorders>
                  <w:noWrap/>
                  <w:vAlign w:val="center"/>
                </w:tcPr>
                <w:p w14:paraId="20C633BB">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eastAsia="zh-CN"/>
                    </w:rPr>
                    <w:t>危险废物</w:t>
                  </w:r>
                  <w:r>
                    <w:rPr>
                      <w:rFonts w:hint="default" w:ascii="Times New Roman" w:hAnsi="Times New Roman" w:eastAsia="宋体" w:cs="Times New Roman"/>
                      <w:color w:val="000000"/>
                      <w:sz w:val="21"/>
                      <w:szCs w:val="21"/>
                      <w:highlight w:val="none"/>
                      <w:lang w:val="en-US" w:eastAsia="zh-CN"/>
                    </w:rPr>
                    <w:t>900-214-08</w:t>
                  </w:r>
                </w:p>
              </w:tc>
              <w:tc>
                <w:tcPr>
                  <w:tcW w:w="481" w:type="pct"/>
                  <w:tcBorders>
                    <w:tl2br w:val="nil"/>
                    <w:tr2bl w:val="nil"/>
                  </w:tcBorders>
                  <w:noWrap/>
                  <w:vAlign w:val="center"/>
                </w:tcPr>
                <w:p w14:paraId="01865005">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eastAsia="zh-CN"/>
                    </w:rPr>
                    <w:t>液态</w:t>
                  </w:r>
                </w:p>
              </w:tc>
              <w:tc>
                <w:tcPr>
                  <w:tcW w:w="436" w:type="pct"/>
                  <w:tcBorders>
                    <w:tl2br w:val="nil"/>
                    <w:tr2bl w:val="nil"/>
                  </w:tcBorders>
                  <w:noWrap/>
                  <w:vAlign w:val="center"/>
                </w:tcPr>
                <w:p w14:paraId="4915FE5A">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0.1</w:t>
                  </w:r>
                </w:p>
              </w:tc>
              <w:tc>
                <w:tcPr>
                  <w:tcW w:w="628" w:type="pct"/>
                  <w:tcBorders>
                    <w:tl2br w:val="nil"/>
                    <w:tr2bl w:val="nil"/>
                  </w:tcBorders>
                  <w:noWrap/>
                  <w:vAlign w:val="center"/>
                </w:tcPr>
                <w:p w14:paraId="37B4B312">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eastAsia="zh-CN"/>
                    </w:rPr>
                    <w:t>桶装、密封，设置危废</w:t>
                  </w:r>
                  <w:r>
                    <w:rPr>
                      <w:rFonts w:hint="eastAsia" w:cs="Times New Roman"/>
                      <w:color w:val="000000"/>
                      <w:sz w:val="21"/>
                      <w:szCs w:val="21"/>
                      <w:highlight w:val="none"/>
                      <w:lang w:val="en-US" w:eastAsia="zh-CN"/>
                    </w:rPr>
                    <w:t>贮存点</w:t>
                  </w:r>
                </w:p>
              </w:tc>
              <w:tc>
                <w:tcPr>
                  <w:tcW w:w="559" w:type="pct"/>
                  <w:tcBorders>
                    <w:tl2br w:val="nil"/>
                    <w:tr2bl w:val="nil"/>
                  </w:tcBorders>
                  <w:noWrap/>
                  <w:vAlign w:val="center"/>
                </w:tcPr>
                <w:p w14:paraId="1F179DB7">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交由资质单位处理</w:t>
                  </w:r>
                </w:p>
              </w:tc>
              <w:tc>
                <w:tcPr>
                  <w:tcW w:w="1167" w:type="pct"/>
                  <w:tcBorders>
                    <w:tl2br w:val="nil"/>
                    <w:tr2bl w:val="nil"/>
                  </w:tcBorders>
                  <w:noWrap/>
                  <w:vAlign w:val="center"/>
                </w:tcPr>
                <w:p w14:paraId="76B86314">
                  <w:pPr>
                    <w:pStyle w:val="36"/>
                    <w:keepNext w:val="0"/>
                    <w:keepLines w:val="0"/>
                    <w:pageBreakBefore w:val="0"/>
                    <w:widowControl w:val="0"/>
                    <w:kinsoku/>
                    <w:wordWrap w:val="0"/>
                    <w:overflowPunct/>
                    <w:topLinePunct/>
                    <w:autoSpaceDE/>
                    <w:autoSpaceDN/>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《危险废物贮存污染控制标准》（GB18597-2023）</w:t>
                  </w:r>
                </w:p>
              </w:tc>
            </w:tr>
            <w:tr w14:paraId="179EA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75" w:type="pct"/>
                  <w:tcBorders>
                    <w:tl2br w:val="nil"/>
                    <w:tr2bl w:val="nil"/>
                  </w:tcBorders>
                  <w:noWrap/>
                  <w:vAlign w:val="center"/>
                </w:tcPr>
                <w:p w14:paraId="5B0886DD">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员工生活</w:t>
                  </w:r>
                </w:p>
              </w:tc>
              <w:tc>
                <w:tcPr>
                  <w:tcW w:w="576" w:type="pct"/>
                  <w:tcBorders>
                    <w:tl2br w:val="nil"/>
                    <w:tr2bl w:val="nil"/>
                  </w:tcBorders>
                  <w:noWrap/>
                  <w:vAlign w:val="center"/>
                </w:tcPr>
                <w:p w14:paraId="709D2559">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生活垃圾</w:t>
                  </w:r>
                </w:p>
              </w:tc>
              <w:tc>
                <w:tcPr>
                  <w:tcW w:w="576" w:type="pct"/>
                  <w:tcBorders>
                    <w:tl2br w:val="nil"/>
                    <w:tr2bl w:val="nil"/>
                  </w:tcBorders>
                  <w:noWrap/>
                  <w:vAlign w:val="center"/>
                </w:tcPr>
                <w:p w14:paraId="6F4AE917">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w:t>
                  </w:r>
                </w:p>
              </w:tc>
              <w:tc>
                <w:tcPr>
                  <w:tcW w:w="481" w:type="pct"/>
                  <w:tcBorders>
                    <w:tl2br w:val="nil"/>
                    <w:tr2bl w:val="nil"/>
                  </w:tcBorders>
                  <w:noWrap/>
                  <w:vAlign w:val="center"/>
                </w:tcPr>
                <w:p w14:paraId="2084801D">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固态</w:t>
                  </w:r>
                </w:p>
              </w:tc>
              <w:tc>
                <w:tcPr>
                  <w:tcW w:w="436" w:type="pct"/>
                  <w:tcBorders>
                    <w:tl2br w:val="nil"/>
                    <w:tr2bl w:val="nil"/>
                  </w:tcBorders>
                  <w:noWrap/>
                  <w:vAlign w:val="center"/>
                </w:tcPr>
                <w:p w14:paraId="44A1B269">
                  <w:pPr>
                    <w:pStyle w:val="36"/>
                    <w:pageBreakBefore w:val="0"/>
                    <w:kinsoku/>
                    <w:overflowPunct/>
                    <w:bidi w:val="0"/>
                    <w:adjustRightInd w:val="0"/>
                    <w:snapToGrid w:val="0"/>
                    <w:spacing w:line="240" w:lineRule="auto"/>
                    <w:ind w:left="0" w:leftChars="0" w:right="0" w:righ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8.25</w:t>
                  </w:r>
                </w:p>
              </w:tc>
              <w:tc>
                <w:tcPr>
                  <w:tcW w:w="628" w:type="pct"/>
                  <w:tcBorders>
                    <w:tl2br w:val="nil"/>
                    <w:tr2bl w:val="nil"/>
                  </w:tcBorders>
                  <w:noWrap/>
                  <w:vAlign w:val="center"/>
                </w:tcPr>
                <w:p w14:paraId="0FBB8554">
                  <w:pPr>
                    <w:pStyle w:val="36"/>
                    <w:pageBreakBefore w:val="0"/>
                    <w:kinsoku/>
                    <w:overflowPunct/>
                    <w:bidi w:val="0"/>
                    <w:adjustRightInd w:val="0"/>
                    <w:snapToGrid w:val="0"/>
                    <w:spacing w:line="240" w:lineRule="auto"/>
                    <w:ind w:left="0" w:leftChars="0" w:right="0" w:rightChars="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垃圾桶统一收集</w:t>
                  </w:r>
                </w:p>
              </w:tc>
              <w:tc>
                <w:tcPr>
                  <w:tcW w:w="559" w:type="pct"/>
                  <w:tcBorders>
                    <w:tl2br w:val="nil"/>
                    <w:tr2bl w:val="nil"/>
                  </w:tcBorders>
                  <w:noWrap/>
                  <w:vAlign w:val="center"/>
                </w:tcPr>
                <w:p w14:paraId="3226582A">
                  <w:pPr>
                    <w:pStyle w:val="36"/>
                    <w:pageBreakBefore w:val="0"/>
                    <w:kinsoku/>
                    <w:overflowPunct/>
                    <w:bidi w:val="0"/>
                    <w:adjustRightInd w:val="0"/>
                    <w:snapToGrid w:val="0"/>
                    <w:spacing w:line="240" w:lineRule="auto"/>
                    <w:ind w:left="0" w:leftChars="0" w:right="0" w:rightChars="0" w:firstLine="0" w:firstLineChars="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环卫部门清运</w:t>
                  </w:r>
                </w:p>
              </w:tc>
              <w:tc>
                <w:tcPr>
                  <w:tcW w:w="1167" w:type="pct"/>
                  <w:tcBorders>
                    <w:tl2br w:val="nil"/>
                    <w:tr2bl w:val="nil"/>
                  </w:tcBorders>
                  <w:noWrap/>
                  <w:vAlign w:val="center"/>
                </w:tcPr>
                <w:p w14:paraId="722B90AD">
                  <w:pPr>
                    <w:pStyle w:val="36"/>
                    <w:keepNext w:val="0"/>
                    <w:keepLines w:val="0"/>
                    <w:pageBreakBefore w:val="0"/>
                    <w:widowControl w:val="0"/>
                    <w:kinsoku/>
                    <w:wordWrap w:val="0"/>
                    <w:overflowPunct/>
                    <w:topLinePunct/>
                    <w:autoSpaceDE/>
                    <w:autoSpaceDN/>
                    <w:bidi w:val="0"/>
                    <w:adjustRightInd w:val="0"/>
                    <w:snapToGrid w:val="0"/>
                    <w:spacing w:line="240" w:lineRule="auto"/>
                    <w:ind w:left="0" w:leftChars="0" w:right="0" w:firstLine="0"/>
                    <w:jc w:val="center"/>
                    <w:textAlignment w:val="baseline"/>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《城市生活垃圾管理规定》</w:t>
                  </w:r>
                </w:p>
              </w:tc>
            </w:tr>
          </w:tbl>
          <w:p w14:paraId="6DE40D37">
            <w:pPr>
              <w:pStyle w:val="11"/>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4.2.</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地下水、土壤</w:t>
            </w:r>
          </w:p>
          <w:p w14:paraId="1E399D5F">
            <w:pPr>
              <w:pStyle w:val="4"/>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本项目无需开展地下水环境影响评价和土壤环境影响评价。为防止土壤和地下水污染，</w:t>
            </w:r>
            <w:r>
              <w:rPr>
                <w:rFonts w:hint="eastAsia" w:ascii="宋体" w:hAnsi="宋体" w:cs="宋体"/>
                <w:b w:val="0"/>
                <w:bCs w:val="0"/>
                <w:color w:val="auto"/>
                <w:kern w:val="2"/>
                <w:sz w:val="24"/>
                <w:szCs w:val="24"/>
                <w:highlight w:val="none"/>
                <w:lang w:val="en-US" w:eastAsia="zh-CN" w:bidi="ar-SA"/>
              </w:rPr>
              <w:t>企业拟采取相应的分区防渗措施。具体</w:t>
            </w:r>
            <w:r>
              <w:rPr>
                <w:rFonts w:hint="default" w:ascii="Times New Roman" w:hAnsi="Times New Roman" w:eastAsia="宋体" w:cs="Times New Roman"/>
                <w:b w:val="0"/>
                <w:bCs w:val="0"/>
                <w:color w:val="auto"/>
                <w:kern w:val="2"/>
                <w:sz w:val="24"/>
                <w:szCs w:val="24"/>
                <w:highlight w:val="none"/>
                <w:lang w:val="en-US" w:eastAsia="zh-CN" w:bidi="ar-SA"/>
              </w:rPr>
              <w:t>防渗分区情况见下表。</w:t>
            </w:r>
          </w:p>
          <w:p w14:paraId="720DC5FB">
            <w:pPr>
              <w:pStyle w:val="4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宋体" w:hAnsi="宋体" w:eastAsia="宋体" w:cs="宋体"/>
                <w:color w:val="auto"/>
                <w:sz w:val="21"/>
                <w:szCs w:val="21"/>
                <w:highlight w:val="green"/>
                <w:lang w:val="en-US" w:eastAsia="zh-CN"/>
              </w:rPr>
            </w:pPr>
            <w:bookmarkStart w:id="4" w:name="OLE_LINK71"/>
            <w:r>
              <w:rPr>
                <w:rFonts w:hint="eastAsia" w:ascii="黑体" w:hAnsi="黑体" w:eastAsia="黑体" w:cs="黑体"/>
                <w:b w:val="0"/>
                <w:bCs w:val="0"/>
                <w:color w:val="auto"/>
                <w:sz w:val="21"/>
                <w:szCs w:val="21"/>
                <w:highlight w:val="none"/>
                <w:lang w:val="en-US" w:eastAsia="zh-CN"/>
              </w:rPr>
              <w:t>表4-15地下水污染防控分区一览表</w:t>
            </w:r>
          </w:p>
          <w:bookmarkEnd w:id="4"/>
          <w:tbl>
            <w:tblPr>
              <w:tblStyle w:val="24"/>
              <w:tblW w:w="4977"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1930"/>
              <w:gridCol w:w="1909"/>
              <w:gridCol w:w="3819"/>
            </w:tblGrid>
            <w:tr w14:paraId="26674035">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260" w:type="pct"/>
                  <w:tcBorders>
                    <w:tl2br w:val="nil"/>
                    <w:tr2bl w:val="nil"/>
                  </w:tcBorders>
                  <w:noWrap w:val="0"/>
                  <w:vAlign w:val="center"/>
                </w:tcPr>
                <w:p w14:paraId="18AA312C">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防渗区</w:t>
                  </w:r>
                </w:p>
              </w:tc>
              <w:tc>
                <w:tcPr>
                  <w:tcW w:w="1246" w:type="pct"/>
                  <w:tcBorders>
                    <w:tl2br w:val="nil"/>
                    <w:tr2bl w:val="nil"/>
                  </w:tcBorders>
                  <w:noWrap w:val="0"/>
                  <w:vAlign w:val="center"/>
                </w:tcPr>
                <w:p w14:paraId="0648BC11">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防渗部位</w:t>
                  </w:r>
                </w:p>
              </w:tc>
              <w:tc>
                <w:tcPr>
                  <w:tcW w:w="2493" w:type="pct"/>
                  <w:tcBorders>
                    <w:tl2br w:val="nil"/>
                    <w:tr2bl w:val="nil"/>
                  </w:tcBorders>
                  <w:noWrap w:val="0"/>
                  <w:vAlign w:val="center"/>
                </w:tcPr>
                <w:p w14:paraId="267B73AE">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防渗等级及要求</w:t>
                  </w:r>
                </w:p>
              </w:tc>
            </w:tr>
            <w:tr w14:paraId="11009112">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40" w:hRule="atLeast"/>
                <w:jc w:val="center"/>
              </w:trPr>
              <w:tc>
                <w:tcPr>
                  <w:tcW w:w="1260" w:type="pct"/>
                  <w:tcBorders>
                    <w:tl2br w:val="nil"/>
                    <w:tr2bl w:val="nil"/>
                  </w:tcBorders>
                  <w:noWrap w:val="0"/>
                  <w:vAlign w:val="center"/>
                </w:tcPr>
                <w:p w14:paraId="229FF3B7">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eastAsia="zh-CN"/>
                    </w:rPr>
                    <w:t>重点污染防渗区</w:t>
                  </w:r>
                </w:p>
              </w:tc>
              <w:tc>
                <w:tcPr>
                  <w:tcW w:w="1246" w:type="pct"/>
                  <w:tcBorders>
                    <w:tl2br w:val="nil"/>
                    <w:tr2bl w:val="nil"/>
                  </w:tcBorders>
                  <w:noWrap w:val="0"/>
                  <w:vAlign w:val="center"/>
                </w:tcPr>
                <w:p w14:paraId="40A5EE8D">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eastAsia="zh-CN"/>
                    </w:rPr>
                    <w:t>危险废物贮存</w:t>
                  </w:r>
                  <w:r>
                    <w:rPr>
                      <w:rFonts w:hint="eastAsia" w:ascii="Times New Roman" w:hAnsi="Times New Roman" w:cs="Times New Roman"/>
                      <w:color w:val="auto"/>
                      <w:spacing w:val="0"/>
                      <w:sz w:val="21"/>
                      <w:szCs w:val="21"/>
                      <w:lang w:val="en-US" w:eastAsia="zh-CN"/>
                    </w:rPr>
                    <w:t>点</w:t>
                  </w:r>
                </w:p>
              </w:tc>
              <w:tc>
                <w:tcPr>
                  <w:tcW w:w="2493" w:type="pct"/>
                  <w:tcBorders>
                    <w:tl2br w:val="nil"/>
                    <w:tr2bl w:val="nil"/>
                  </w:tcBorders>
                  <w:noWrap w:val="0"/>
                  <w:vAlign w:val="center"/>
                </w:tcPr>
                <w:p w14:paraId="7361397D">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等效粘土防渗层Mb≥6.0m， K≤10</w:t>
                  </w:r>
                  <w:r>
                    <w:rPr>
                      <w:rFonts w:hint="default" w:ascii="Times New Roman" w:hAnsi="Times New Roman" w:eastAsia="宋体" w:cs="Times New Roman"/>
                      <w:color w:val="auto"/>
                      <w:spacing w:val="0"/>
                      <w:sz w:val="21"/>
                      <w:szCs w:val="21"/>
                      <w:vertAlign w:val="superscript"/>
                    </w:rPr>
                    <w:t>-7</w:t>
                  </w:r>
                  <w:r>
                    <w:rPr>
                      <w:rFonts w:hint="default" w:ascii="Times New Roman" w:hAnsi="Times New Roman" w:eastAsia="宋体" w:cs="Times New Roman"/>
                      <w:color w:val="auto"/>
                      <w:spacing w:val="0"/>
                      <w:sz w:val="21"/>
                      <w:szCs w:val="21"/>
                    </w:rPr>
                    <w:t>cm/s</w:t>
                  </w:r>
                </w:p>
              </w:tc>
            </w:tr>
            <w:tr w14:paraId="3775D982">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42" w:hRule="atLeast"/>
                <w:jc w:val="center"/>
              </w:trPr>
              <w:tc>
                <w:tcPr>
                  <w:tcW w:w="1260" w:type="pct"/>
                  <w:vMerge w:val="restart"/>
                  <w:tcBorders>
                    <w:tl2br w:val="nil"/>
                    <w:tr2bl w:val="nil"/>
                  </w:tcBorders>
                  <w:noWrap w:val="0"/>
                  <w:vAlign w:val="center"/>
                </w:tcPr>
                <w:p w14:paraId="7DDFB7D4">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一般污染防渗区</w:t>
                  </w:r>
                </w:p>
              </w:tc>
              <w:tc>
                <w:tcPr>
                  <w:tcW w:w="1246" w:type="pct"/>
                  <w:tcBorders>
                    <w:tl2br w:val="nil"/>
                    <w:tr2bl w:val="nil"/>
                  </w:tcBorders>
                  <w:noWrap w:val="0"/>
                  <w:vAlign w:val="center"/>
                </w:tcPr>
                <w:p w14:paraId="06B597E9">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充装车间</w:t>
                  </w:r>
                </w:p>
              </w:tc>
              <w:tc>
                <w:tcPr>
                  <w:tcW w:w="2493" w:type="pct"/>
                  <w:vMerge w:val="restart"/>
                  <w:tcBorders>
                    <w:tl2br w:val="nil"/>
                    <w:tr2bl w:val="nil"/>
                  </w:tcBorders>
                  <w:noWrap w:val="0"/>
                  <w:vAlign w:val="center"/>
                </w:tcPr>
                <w:p w14:paraId="34F77C0E">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等效黏土防渗层Mb≥1.5m，k≤1*10</w:t>
                  </w:r>
                  <w:r>
                    <w:rPr>
                      <w:rFonts w:hint="default" w:ascii="Times New Roman" w:hAnsi="Times New Roman" w:eastAsia="宋体" w:cs="Times New Roman"/>
                      <w:color w:val="auto"/>
                      <w:spacing w:val="0"/>
                      <w:sz w:val="21"/>
                      <w:szCs w:val="21"/>
                      <w:vertAlign w:val="superscript"/>
                    </w:rPr>
                    <w:t>-7</w:t>
                  </w:r>
                  <w:r>
                    <w:rPr>
                      <w:rFonts w:hint="default" w:ascii="Times New Roman" w:hAnsi="Times New Roman" w:eastAsia="宋体" w:cs="Times New Roman"/>
                      <w:color w:val="auto"/>
                      <w:spacing w:val="0"/>
                      <w:sz w:val="21"/>
                      <w:szCs w:val="21"/>
                    </w:rPr>
                    <w:t>cm/s</w:t>
                  </w:r>
                </w:p>
              </w:tc>
            </w:tr>
            <w:tr w14:paraId="44959866">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260" w:type="pct"/>
                  <w:vMerge w:val="continue"/>
                  <w:tcBorders>
                    <w:tl2br w:val="nil"/>
                    <w:tr2bl w:val="nil"/>
                  </w:tcBorders>
                  <w:noWrap w:val="0"/>
                  <w:vAlign w:val="center"/>
                </w:tcPr>
                <w:p w14:paraId="67B5170A">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p>
              </w:tc>
              <w:tc>
                <w:tcPr>
                  <w:tcW w:w="1246" w:type="pct"/>
                  <w:tcBorders>
                    <w:tl2br w:val="nil"/>
                    <w:tr2bl w:val="nil"/>
                  </w:tcBorders>
                  <w:noWrap w:val="0"/>
                  <w:vAlign w:val="center"/>
                </w:tcPr>
                <w:p w14:paraId="0EB59A66">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储罐区</w:t>
                  </w:r>
                </w:p>
              </w:tc>
              <w:tc>
                <w:tcPr>
                  <w:tcW w:w="2493" w:type="pct"/>
                  <w:vMerge w:val="continue"/>
                  <w:tcBorders>
                    <w:tl2br w:val="nil"/>
                    <w:tr2bl w:val="nil"/>
                  </w:tcBorders>
                  <w:noWrap w:val="0"/>
                  <w:vAlign w:val="center"/>
                </w:tcPr>
                <w:p w14:paraId="29C30B51">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p>
              </w:tc>
            </w:tr>
            <w:tr w14:paraId="0BDBCC31">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260" w:type="pct"/>
                  <w:vMerge w:val="continue"/>
                  <w:tcBorders>
                    <w:tl2br w:val="nil"/>
                    <w:tr2bl w:val="nil"/>
                  </w:tcBorders>
                  <w:noWrap w:val="0"/>
                  <w:vAlign w:val="center"/>
                </w:tcPr>
                <w:p w14:paraId="2753E875">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p>
              </w:tc>
              <w:tc>
                <w:tcPr>
                  <w:tcW w:w="1246" w:type="pct"/>
                  <w:tcBorders>
                    <w:tl2br w:val="nil"/>
                    <w:tr2bl w:val="nil"/>
                  </w:tcBorders>
                  <w:noWrap w:val="0"/>
                  <w:vAlign w:val="center"/>
                </w:tcPr>
                <w:p w14:paraId="21037F2F">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化粪池</w:t>
                  </w:r>
                </w:p>
              </w:tc>
              <w:tc>
                <w:tcPr>
                  <w:tcW w:w="2493" w:type="pct"/>
                  <w:vMerge w:val="continue"/>
                  <w:tcBorders>
                    <w:tl2br w:val="nil"/>
                    <w:tr2bl w:val="nil"/>
                  </w:tcBorders>
                  <w:noWrap w:val="0"/>
                  <w:vAlign w:val="center"/>
                </w:tcPr>
                <w:p w14:paraId="3F6D8366">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p>
              </w:tc>
            </w:tr>
            <w:tr w14:paraId="38C4BAC0">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PrEx>
              <w:trPr>
                <w:trHeight w:val="339" w:hRule="atLeast"/>
                <w:jc w:val="center"/>
              </w:trPr>
              <w:tc>
                <w:tcPr>
                  <w:tcW w:w="1260" w:type="pct"/>
                  <w:tcBorders>
                    <w:tl2br w:val="nil"/>
                    <w:tr2bl w:val="nil"/>
                  </w:tcBorders>
                  <w:noWrap w:val="0"/>
                  <w:vAlign w:val="center"/>
                </w:tcPr>
                <w:p w14:paraId="59F0EC22">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简单污染防渗区</w:t>
                  </w:r>
                </w:p>
              </w:tc>
              <w:tc>
                <w:tcPr>
                  <w:tcW w:w="1246" w:type="pct"/>
                  <w:tcBorders>
                    <w:tl2br w:val="nil"/>
                    <w:tr2bl w:val="nil"/>
                  </w:tcBorders>
                  <w:noWrap w:val="0"/>
                  <w:vAlign w:val="center"/>
                </w:tcPr>
                <w:p w14:paraId="69852C09">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其他区域</w:t>
                  </w:r>
                </w:p>
              </w:tc>
              <w:tc>
                <w:tcPr>
                  <w:tcW w:w="2493" w:type="pct"/>
                  <w:tcBorders>
                    <w:tl2br w:val="nil"/>
                    <w:tr2bl w:val="nil"/>
                  </w:tcBorders>
                  <w:noWrap w:val="0"/>
                  <w:vAlign w:val="center"/>
                </w:tcPr>
                <w:p w14:paraId="798313EE">
                  <w:pPr>
                    <w:pStyle w:val="3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一般地面硬化</w:t>
                  </w:r>
                </w:p>
              </w:tc>
            </w:tr>
          </w:tbl>
          <w:p w14:paraId="6EFCD22D">
            <w:pPr>
              <w:pStyle w:val="11"/>
              <w:pageBreakBefore w:val="0"/>
              <w:widowControl w:val="0"/>
              <w:kinsoku/>
              <w:wordWrap/>
              <w:overflowPunct/>
              <w:topLinePunct w:val="0"/>
              <w:autoSpaceDE/>
              <w:autoSpaceDN/>
              <w:bidi w:val="0"/>
              <w:adjustRightInd w:val="0"/>
              <w:snapToGrid w:val="0"/>
              <w:spacing w:beforeLines="0" w:afterLines="0" w:line="360" w:lineRule="auto"/>
              <w:ind w:firstLine="482"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4.2.</w:t>
            </w:r>
            <w:r>
              <w:rPr>
                <w:rFonts w:hint="eastAsia" w:cs="Times New Roman"/>
                <w:color w:val="auto"/>
                <w:highlight w:val="none"/>
                <w:lang w:val="en-US" w:eastAsia="zh-CN"/>
              </w:rPr>
              <w:t>6</w:t>
            </w:r>
            <w:r>
              <w:rPr>
                <w:rFonts w:hint="default" w:ascii="Times New Roman" w:hAnsi="Times New Roman" w:cs="Times New Roman"/>
                <w:color w:val="auto"/>
                <w:highlight w:val="none"/>
              </w:rPr>
              <w:t>环境风险</w:t>
            </w:r>
          </w:p>
          <w:p w14:paraId="2E56AD9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依据《建设项目环境风险评价技术导则》（HJ169-2018）、《关于进一步加强环境影响评价管理防范环境风险的通知》（环发[2012]77号），对本项目进行环境风险评价。</w:t>
            </w:r>
          </w:p>
          <w:p w14:paraId="333B20C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本项目涉及原辅料主要为液态氮气、液态一氧化二氮以及液态二氧化碳，根据《危险化学品目录（2022调整版）》</w:t>
            </w:r>
            <w:r>
              <w:rPr>
                <w:rFonts w:hint="eastAsia" w:ascii="Times New Roman" w:hAnsi="Times New Roman" w:eastAsia="宋体" w:cs="Times New Roman"/>
                <w:color w:val="0000FF"/>
                <w:sz w:val="24"/>
                <w:szCs w:val="24"/>
                <w:highlight w:val="none"/>
                <w:lang w:val="en-US" w:eastAsia="zh-CN"/>
              </w:rPr>
              <w:t>均属危险化学品</w:t>
            </w:r>
            <w:r>
              <w:rPr>
                <w:rFonts w:hint="eastAsia" w:ascii="Times New Roman" w:hAnsi="Times New Roman" w:eastAsia="宋体" w:cs="Times New Roman"/>
                <w:color w:val="000000"/>
                <w:sz w:val="24"/>
                <w:szCs w:val="24"/>
                <w:highlight w:val="none"/>
                <w:lang w:val="en-US" w:eastAsia="zh-CN"/>
              </w:rPr>
              <w:t>；根据《有毒有害大气污染物名录（2018年）》的公告（公告2019年 第4号），均不属于有毒有害大气污染物；根据《易制毒化学品的分类和品种目录》（2024版）的规定，均不属于易制毒化学品；根据《易制爆危险化学品名录》（2017年版）的规定，均不属于易制爆危险化学品；根据</w:t>
            </w:r>
            <w:r>
              <w:rPr>
                <w:rFonts w:hint="default" w:ascii="Times New Roman" w:hAnsi="Times New Roman" w:eastAsia="宋体" w:cs="Times New Roman"/>
                <w:color w:val="000000"/>
                <w:sz w:val="24"/>
                <w:szCs w:val="24"/>
                <w:highlight w:val="none"/>
                <w:lang w:val="en-US" w:eastAsia="zh-CN"/>
              </w:rPr>
              <w:t>《建设项目环境风险评价技术导则》（HJ169-2018）</w:t>
            </w:r>
            <w:r>
              <w:rPr>
                <w:rFonts w:hint="eastAsia" w:ascii="Times New Roman" w:hAnsi="Times New Roman" w:eastAsia="宋体" w:cs="Times New Roman"/>
                <w:color w:val="000000"/>
                <w:sz w:val="24"/>
                <w:szCs w:val="24"/>
                <w:highlight w:val="none"/>
                <w:lang w:val="en-US" w:eastAsia="zh-CN"/>
              </w:rPr>
              <w:t>，均不属于附录B所列物质。</w:t>
            </w:r>
          </w:p>
          <w:p w14:paraId="3D2DFE2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本项目原辅料主要危险特性如下表所示。</w:t>
            </w:r>
          </w:p>
          <w:p w14:paraId="48054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黑体" w:hAnsi="黑体" w:eastAsia="黑体" w:cs="黑体"/>
                <w:i w:val="0"/>
                <w:iCs w:val="0"/>
                <w:caps w:val="0"/>
                <w:color w:val="auto"/>
                <w:spacing w:val="0"/>
                <w:sz w:val="21"/>
                <w:szCs w:val="21"/>
                <w:highlight w:val="none"/>
                <w:shd w:val="clear" w:fill="FFFFFF"/>
                <w:lang w:val="en-US" w:eastAsia="zh-CN"/>
              </w:rPr>
            </w:pPr>
            <w:r>
              <w:rPr>
                <w:rFonts w:hint="eastAsia" w:ascii="黑体" w:hAnsi="黑体" w:eastAsia="黑体" w:cs="黑体"/>
                <w:i w:val="0"/>
                <w:iCs w:val="0"/>
                <w:caps w:val="0"/>
                <w:color w:val="auto"/>
                <w:spacing w:val="0"/>
                <w:sz w:val="21"/>
                <w:szCs w:val="21"/>
                <w:highlight w:val="none"/>
                <w:shd w:val="clear" w:fill="FFFFFF"/>
                <w:lang w:val="en-US" w:eastAsia="zh-CN"/>
              </w:rPr>
              <w:t>表4-16原辅料主要危险特性一览表</w:t>
            </w:r>
          </w:p>
          <w:tbl>
            <w:tblPr>
              <w:tblStyle w:val="2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932"/>
              <w:gridCol w:w="1294"/>
              <w:gridCol w:w="2774"/>
            </w:tblGrid>
            <w:tr w14:paraId="38CAC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449" w:type="pct"/>
                  <w:tcBorders>
                    <w:tl2br w:val="nil"/>
                    <w:tr2bl w:val="nil"/>
                  </w:tcBorders>
                  <w:vAlign w:val="center"/>
                </w:tcPr>
                <w:p w14:paraId="108AC4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序号</w:t>
                  </w:r>
                </w:p>
              </w:tc>
              <w:tc>
                <w:tcPr>
                  <w:tcW w:w="1905" w:type="pct"/>
                  <w:tcBorders>
                    <w:tl2br w:val="nil"/>
                    <w:tr2bl w:val="nil"/>
                  </w:tcBorders>
                  <w:vAlign w:val="center"/>
                </w:tcPr>
                <w:p w14:paraId="2F4424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物质名称</w:t>
                  </w:r>
                </w:p>
              </w:tc>
              <w:tc>
                <w:tcPr>
                  <w:tcW w:w="841" w:type="pct"/>
                  <w:tcBorders>
                    <w:tl2br w:val="nil"/>
                    <w:tr2bl w:val="nil"/>
                  </w:tcBorders>
                  <w:vAlign w:val="center"/>
                </w:tcPr>
                <w:p w14:paraId="0E0F6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CAS号</w:t>
                  </w:r>
                </w:p>
              </w:tc>
              <w:tc>
                <w:tcPr>
                  <w:tcW w:w="1803" w:type="pct"/>
                  <w:tcBorders>
                    <w:tl2br w:val="nil"/>
                    <w:tr2bl w:val="nil"/>
                  </w:tcBorders>
                  <w:vAlign w:val="center"/>
                </w:tcPr>
                <w:p w14:paraId="56572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危险特性</w:t>
                  </w:r>
                </w:p>
              </w:tc>
            </w:tr>
            <w:tr w14:paraId="09FC0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vAlign w:val="center"/>
                </w:tcPr>
                <w:p w14:paraId="11887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1</w:t>
                  </w:r>
                </w:p>
              </w:tc>
              <w:tc>
                <w:tcPr>
                  <w:tcW w:w="1905" w:type="pct"/>
                  <w:tcBorders>
                    <w:tl2br w:val="nil"/>
                    <w:tr2bl w:val="nil"/>
                  </w:tcBorders>
                  <w:vAlign w:val="center"/>
                </w:tcPr>
                <w:p w14:paraId="32B66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一氧化二氮[压缩的或液化的]</w:t>
                  </w:r>
                </w:p>
              </w:tc>
              <w:tc>
                <w:tcPr>
                  <w:tcW w:w="841" w:type="pct"/>
                  <w:tcBorders>
                    <w:tl2br w:val="nil"/>
                    <w:tr2bl w:val="nil"/>
                  </w:tcBorders>
                  <w:vAlign w:val="center"/>
                </w:tcPr>
                <w:p w14:paraId="53FC3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10024-97-2</w:t>
                  </w:r>
                </w:p>
              </w:tc>
              <w:tc>
                <w:tcPr>
                  <w:tcW w:w="1803" w:type="pct"/>
                  <w:tcBorders>
                    <w:tl2br w:val="nil"/>
                    <w:tr2bl w:val="nil"/>
                  </w:tcBorders>
                  <w:vAlign w:val="center"/>
                </w:tcPr>
                <w:p w14:paraId="1852F3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窒息性、助燃性、低温危害</w:t>
                  </w:r>
                </w:p>
              </w:tc>
            </w:tr>
            <w:tr w14:paraId="60861B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vAlign w:val="center"/>
                </w:tcPr>
                <w:p w14:paraId="2E2E5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2</w:t>
                  </w:r>
                </w:p>
              </w:tc>
              <w:tc>
                <w:tcPr>
                  <w:tcW w:w="1905" w:type="pct"/>
                  <w:tcBorders>
                    <w:tl2br w:val="nil"/>
                    <w:tr2bl w:val="nil"/>
                  </w:tcBorders>
                  <w:vAlign w:val="center"/>
                </w:tcPr>
                <w:p w14:paraId="0316E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氮[压缩的或液化的]</w:t>
                  </w:r>
                </w:p>
              </w:tc>
              <w:tc>
                <w:tcPr>
                  <w:tcW w:w="841" w:type="pct"/>
                  <w:tcBorders>
                    <w:tl2br w:val="nil"/>
                    <w:tr2bl w:val="nil"/>
                  </w:tcBorders>
                  <w:vAlign w:val="center"/>
                </w:tcPr>
                <w:p w14:paraId="52BF6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7727-37-9</w:t>
                  </w:r>
                </w:p>
              </w:tc>
              <w:tc>
                <w:tcPr>
                  <w:tcW w:w="1803" w:type="pct"/>
                  <w:tcBorders>
                    <w:tl2br w:val="nil"/>
                    <w:tr2bl w:val="nil"/>
                  </w:tcBorders>
                  <w:vAlign w:val="center"/>
                </w:tcPr>
                <w:p w14:paraId="2BD4B5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窒息性、低温危害</w:t>
                  </w:r>
                </w:p>
              </w:tc>
            </w:tr>
            <w:tr w14:paraId="00093F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vAlign w:val="center"/>
                </w:tcPr>
                <w:p w14:paraId="5AF30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3</w:t>
                  </w:r>
                </w:p>
              </w:tc>
              <w:tc>
                <w:tcPr>
                  <w:tcW w:w="1905" w:type="pct"/>
                  <w:tcBorders>
                    <w:tl2br w:val="nil"/>
                    <w:tr2bl w:val="nil"/>
                  </w:tcBorders>
                  <w:vAlign w:val="center"/>
                </w:tcPr>
                <w:p w14:paraId="43C0A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二氧化碳[压缩的或液化的]</w:t>
                  </w:r>
                </w:p>
              </w:tc>
              <w:tc>
                <w:tcPr>
                  <w:tcW w:w="841" w:type="pct"/>
                  <w:tcBorders>
                    <w:tl2br w:val="nil"/>
                    <w:tr2bl w:val="nil"/>
                  </w:tcBorders>
                  <w:vAlign w:val="center"/>
                </w:tcPr>
                <w:p w14:paraId="72497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124-38-9</w:t>
                  </w:r>
                </w:p>
              </w:tc>
              <w:tc>
                <w:tcPr>
                  <w:tcW w:w="1803" w:type="pct"/>
                  <w:tcBorders>
                    <w:tl2br w:val="nil"/>
                    <w:tr2bl w:val="nil"/>
                  </w:tcBorders>
                  <w:vAlign w:val="center"/>
                </w:tcPr>
                <w:p w14:paraId="6AC9BE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窒息性、低温危害</w:t>
                  </w:r>
                </w:p>
              </w:tc>
            </w:tr>
          </w:tbl>
          <w:p w14:paraId="156385E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本项目所涉及的</w:t>
            </w:r>
            <w:r>
              <w:rPr>
                <w:rFonts w:hint="default" w:ascii="Times New Roman" w:hAnsi="Times New Roman" w:cs="Times New Roman"/>
                <w:color w:val="000000"/>
                <w:sz w:val="24"/>
                <w:szCs w:val="24"/>
                <w:highlight w:val="none"/>
                <w:lang w:val="en-US" w:eastAsia="zh-CN"/>
              </w:rPr>
              <w:t>环境风险物质为废机油</w:t>
            </w:r>
            <w:r>
              <w:rPr>
                <w:rFonts w:hint="default" w:ascii="Times New Roman" w:hAnsi="Times New Roman" w:eastAsia="宋体" w:cs="Times New Roman"/>
                <w:color w:val="000000"/>
                <w:sz w:val="24"/>
                <w:szCs w:val="24"/>
                <w:highlight w:val="none"/>
                <w:lang w:val="en-US" w:eastAsia="zh-CN"/>
              </w:rPr>
              <w:t>，具有易燃烧和具有一定毒害性等危险特性。在其</w:t>
            </w:r>
            <w:r>
              <w:rPr>
                <w:rFonts w:hint="default" w:ascii="Times New Roman" w:hAnsi="Times New Roman" w:cs="Times New Roman"/>
                <w:color w:val="000000"/>
                <w:sz w:val="24"/>
                <w:szCs w:val="24"/>
                <w:highlight w:val="none"/>
                <w:lang w:val="en-US" w:eastAsia="zh-CN"/>
              </w:rPr>
              <w:t>收集、</w:t>
            </w:r>
            <w:r>
              <w:rPr>
                <w:rFonts w:hint="default" w:ascii="Times New Roman" w:hAnsi="Times New Roman" w:eastAsia="宋体" w:cs="Times New Roman"/>
                <w:color w:val="000000"/>
                <w:sz w:val="24"/>
                <w:szCs w:val="24"/>
                <w:highlight w:val="none"/>
                <w:lang w:val="en-US" w:eastAsia="zh-CN"/>
              </w:rPr>
              <w:t>储存</w:t>
            </w:r>
            <w:r>
              <w:rPr>
                <w:rFonts w:hint="default" w:ascii="Times New Roman" w:hAnsi="Times New Roman" w:cs="Times New Roman"/>
                <w:color w:val="000000"/>
                <w:sz w:val="24"/>
                <w:szCs w:val="24"/>
                <w:highlight w:val="none"/>
                <w:lang w:val="en-US" w:eastAsia="zh-CN"/>
              </w:rPr>
              <w:t>等</w:t>
            </w:r>
            <w:r>
              <w:rPr>
                <w:rFonts w:hint="default" w:ascii="Times New Roman" w:hAnsi="Times New Roman" w:eastAsia="宋体" w:cs="Times New Roman"/>
                <w:color w:val="000000"/>
                <w:sz w:val="24"/>
                <w:szCs w:val="24"/>
                <w:highlight w:val="none"/>
                <w:lang w:val="en-US" w:eastAsia="zh-CN"/>
              </w:rPr>
              <w:t>过程中，如果对其管理防护不当不仅会损害人体健康，造成财产损毁，而且会严重影响环境质量。</w:t>
            </w:r>
          </w:p>
          <w:p w14:paraId="6EC66BC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（1）</w:t>
            </w:r>
            <w:r>
              <w:rPr>
                <w:rFonts w:hint="default" w:ascii="Times New Roman" w:hAnsi="Times New Roman" w:cs="Times New Roman"/>
                <w:color w:val="000000"/>
                <w:sz w:val="24"/>
                <w:szCs w:val="24"/>
                <w:highlight w:val="none"/>
                <w:lang w:val="en-US" w:eastAsia="zh-CN"/>
              </w:rPr>
              <w:t xml:space="preserve">环境风险识别 </w:t>
            </w:r>
          </w:p>
          <w:p w14:paraId="3169229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①</w:t>
            </w:r>
            <w:r>
              <w:rPr>
                <w:rFonts w:hint="default" w:ascii="Times New Roman" w:hAnsi="Times New Roman" w:cs="Times New Roman"/>
                <w:color w:val="000000"/>
                <w:sz w:val="24"/>
                <w:szCs w:val="24"/>
                <w:highlight w:val="none"/>
                <w:lang w:val="en-US" w:eastAsia="zh-CN"/>
              </w:rPr>
              <w:t xml:space="preserve">主要危险物质及分布情况 </w:t>
            </w:r>
          </w:p>
          <w:p w14:paraId="3C05742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本项目涉及的危险物质为</w:t>
            </w:r>
            <w:r>
              <w:rPr>
                <w:rFonts w:hint="eastAsia" w:cs="Times New Roman"/>
                <w:color w:val="000000"/>
                <w:sz w:val="24"/>
                <w:szCs w:val="24"/>
                <w:highlight w:val="none"/>
                <w:lang w:val="en-US" w:eastAsia="zh-CN"/>
              </w:rPr>
              <w:t>废机油</w:t>
            </w:r>
            <w:r>
              <w:rPr>
                <w:rFonts w:hint="default" w:ascii="Times New Roman" w:hAnsi="Times New Roman" w:cs="Times New Roman"/>
                <w:color w:val="000000"/>
                <w:sz w:val="24"/>
                <w:szCs w:val="24"/>
                <w:highlight w:val="none"/>
                <w:lang w:val="en-US" w:eastAsia="zh-CN"/>
              </w:rPr>
              <w:t xml:space="preserve">，分布于危废贮存点。 </w:t>
            </w:r>
          </w:p>
          <w:p w14:paraId="0F080A7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②</w:t>
            </w:r>
            <w:r>
              <w:rPr>
                <w:rFonts w:hint="default" w:ascii="Times New Roman" w:hAnsi="Times New Roman" w:cs="Times New Roman"/>
                <w:color w:val="000000"/>
                <w:sz w:val="24"/>
                <w:szCs w:val="24"/>
                <w:highlight w:val="none"/>
                <w:lang w:val="en-US" w:eastAsia="zh-CN"/>
              </w:rPr>
              <w:t>可能影响</w:t>
            </w:r>
            <w:r>
              <w:rPr>
                <w:rFonts w:hint="eastAsia" w:cs="Times New Roman"/>
                <w:color w:val="000000"/>
                <w:sz w:val="24"/>
                <w:szCs w:val="24"/>
                <w:highlight w:val="none"/>
                <w:lang w:val="en-US" w:eastAsia="zh-CN"/>
              </w:rPr>
              <w:t>矿物油</w:t>
            </w:r>
            <w:r>
              <w:rPr>
                <w:rFonts w:hint="default" w:ascii="Times New Roman" w:hAnsi="Times New Roman" w:cs="Times New Roman"/>
                <w:color w:val="000000"/>
                <w:sz w:val="24"/>
                <w:szCs w:val="24"/>
                <w:highlight w:val="none"/>
                <w:lang w:val="en-US" w:eastAsia="zh-CN"/>
              </w:rPr>
              <w:t>环境的途径</w:t>
            </w:r>
          </w:p>
          <w:p w14:paraId="7AADEA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废机油泄露对区域土壤、地下水等造成污染</w:t>
            </w:r>
            <w:r>
              <w:rPr>
                <w:rFonts w:hint="default" w:ascii="Times New Roman" w:hAnsi="Times New Roman" w:eastAsia="宋体" w:cs="Times New Roman"/>
                <w:color w:val="000000"/>
                <w:sz w:val="24"/>
                <w:szCs w:val="24"/>
                <w:highlight w:val="none"/>
                <w:lang w:val="en-US" w:eastAsia="zh-CN"/>
              </w:rPr>
              <w:t xml:space="preserve">。 </w:t>
            </w:r>
          </w:p>
          <w:p w14:paraId="101E45C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rPr>
            </w:pPr>
            <w:r>
              <w:rPr>
                <w:rFonts w:hint="eastAsia" w:ascii="Times New Roman" w:hAnsi="Times New Roman"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val="en-US" w:eastAsia="zh-CN"/>
              </w:rPr>
              <w:t xml:space="preserve">环境风险分析 </w:t>
            </w:r>
          </w:p>
          <w:p w14:paraId="3FFA19B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本项目涉及的危险物质为</w:t>
            </w:r>
            <w:r>
              <w:rPr>
                <w:rFonts w:hint="default" w:ascii="Times New Roman" w:hAnsi="Times New Roman" w:cs="Times New Roman"/>
                <w:color w:val="000000"/>
                <w:sz w:val="24"/>
                <w:szCs w:val="24"/>
                <w:highlight w:val="none"/>
                <w:lang w:val="en-US" w:eastAsia="zh-CN"/>
              </w:rPr>
              <w:t>废机油</w:t>
            </w:r>
            <w:r>
              <w:rPr>
                <w:rFonts w:hint="default" w:ascii="Times New Roman" w:hAnsi="Times New Roman" w:eastAsia="宋体" w:cs="Times New Roman"/>
                <w:color w:val="000000"/>
                <w:sz w:val="24"/>
                <w:szCs w:val="24"/>
                <w:highlight w:val="none"/>
                <w:lang w:val="en-US" w:eastAsia="zh-CN"/>
              </w:rPr>
              <w:t xml:space="preserve">，所涉及的风险事故主要为泄露或渗漏。 </w:t>
            </w:r>
          </w:p>
          <w:p w14:paraId="7426C3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①</w:t>
            </w:r>
            <w:r>
              <w:rPr>
                <w:rFonts w:hint="default" w:ascii="Times New Roman" w:hAnsi="Times New Roman" w:eastAsia="宋体" w:cs="Times New Roman"/>
                <w:color w:val="000000"/>
                <w:sz w:val="24"/>
                <w:szCs w:val="24"/>
                <w:highlight w:val="none"/>
                <w:lang w:val="en-US" w:eastAsia="zh-CN"/>
              </w:rPr>
              <w:t xml:space="preserve">对地下水环境的影响 </w:t>
            </w:r>
          </w:p>
          <w:p w14:paraId="017A052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本项目</w:t>
            </w:r>
            <w:r>
              <w:rPr>
                <w:rFonts w:hint="default" w:ascii="Times New Roman" w:hAnsi="Times New Roman" w:cs="Times New Roman"/>
                <w:color w:val="000000"/>
                <w:sz w:val="24"/>
                <w:szCs w:val="24"/>
                <w:highlight w:val="none"/>
                <w:lang w:val="en-US" w:eastAsia="zh-CN"/>
              </w:rPr>
              <w:t>废机油均采用专用废油收集桶进行贮存，且危废贮存点地面</w:t>
            </w:r>
            <w:r>
              <w:rPr>
                <w:rFonts w:hint="default" w:ascii="Times New Roman" w:hAnsi="Times New Roman" w:eastAsia="宋体" w:cs="Times New Roman"/>
                <w:color w:val="000000"/>
                <w:sz w:val="24"/>
                <w:szCs w:val="24"/>
                <w:highlight w:val="none"/>
                <w:lang w:val="en-US" w:eastAsia="zh-CN"/>
              </w:rPr>
              <w:t>均做了防渗处理，</w:t>
            </w:r>
            <w:r>
              <w:rPr>
                <w:rFonts w:hint="default" w:ascii="Times New Roman" w:hAnsi="Times New Roman" w:cs="Times New Roman"/>
                <w:color w:val="000000"/>
                <w:sz w:val="24"/>
                <w:szCs w:val="24"/>
                <w:highlight w:val="none"/>
                <w:lang w:val="en-US" w:eastAsia="zh-CN"/>
              </w:rPr>
              <w:t>不会</w:t>
            </w:r>
            <w:r>
              <w:rPr>
                <w:rFonts w:hint="default" w:ascii="Times New Roman" w:hAnsi="Times New Roman" w:eastAsia="宋体" w:cs="Times New Roman"/>
                <w:color w:val="000000"/>
                <w:sz w:val="24"/>
                <w:szCs w:val="24"/>
                <w:highlight w:val="none"/>
                <w:lang w:val="en-US" w:eastAsia="zh-CN"/>
              </w:rPr>
              <w:t xml:space="preserve">对地下水不会造成影响。 </w:t>
            </w:r>
          </w:p>
          <w:p w14:paraId="6DD4889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②</w:t>
            </w:r>
            <w:r>
              <w:rPr>
                <w:rFonts w:hint="default" w:ascii="Times New Roman" w:hAnsi="Times New Roman" w:eastAsia="宋体" w:cs="Times New Roman"/>
                <w:color w:val="000000"/>
                <w:sz w:val="24"/>
                <w:szCs w:val="24"/>
                <w:highlight w:val="none"/>
                <w:lang w:val="en-US" w:eastAsia="zh-CN"/>
              </w:rPr>
              <w:t xml:space="preserve">对周围敏感点的影响 </w:t>
            </w:r>
          </w:p>
          <w:p w14:paraId="304771C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 xml:space="preserve">项目一旦发生渗漏事故，其影响范围均能控制在项目场地范围内，建设单位只要加强管理，做好控制措施，可认为渗漏与溢出事故对周边敏感点基本无影响。 </w:t>
            </w:r>
          </w:p>
          <w:p w14:paraId="419D4E6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lang w:val="en-US" w:eastAsia="zh-CN"/>
              </w:rPr>
              <w:t xml:space="preserve">环境风险防范措施及应急要求 </w:t>
            </w:r>
          </w:p>
          <w:p w14:paraId="5F35045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 xml:space="preserve">为了防范环境风险事故的发生，本项目应从总图布置、建筑安全、危险化学品储运、工艺技术、自动控制、电气、电讯、消防报警等方面采取必要的防范措施，特别是物料泄漏采取防范措施。 </w:t>
            </w:r>
          </w:p>
          <w:p w14:paraId="2ABEB1A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①</w:t>
            </w:r>
            <w:r>
              <w:rPr>
                <w:rFonts w:hint="default" w:ascii="Times New Roman" w:hAnsi="Times New Roman" w:eastAsia="宋体" w:cs="Times New Roman"/>
                <w:color w:val="000000"/>
                <w:sz w:val="24"/>
                <w:szCs w:val="24"/>
                <w:highlight w:val="none"/>
                <w:lang w:val="en-US" w:eastAsia="zh-CN"/>
              </w:rPr>
              <w:t>制定巡检制度，定时对风险源进行检查，一旦发生意外事故，应及时采取应急措施。</w:t>
            </w:r>
          </w:p>
          <w:p w14:paraId="4D07D48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②</w:t>
            </w:r>
            <w:r>
              <w:rPr>
                <w:rFonts w:hint="default" w:ascii="Times New Roman" w:hAnsi="Times New Roman" w:eastAsia="宋体" w:cs="Times New Roman"/>
                <w:color w:val="000000"/>
                <w:sz w:val="24"/>
                <w:szCs w:val="24"/>
                <w:highlight w:val="none"/>
                <w:lang w:val="en-US" w:eastAsia="zh-CN"/>
              </w:rPr>
              <w:t>如发现</w:t>
            </w:r>
            <w:r>
              <w:rPr>
                <w:rFonts w:hint="default" w:ascii="Times New Roman" w:hAnsi="Times New Roman" w:cs="Times New Roman"/>
                <w:color w:val="000000"/>
                <w:sz w:val="24"/>
                <w:szCs w:val="24"/>
                <w:highlight w:val="none"/>
                <w:lang w:val="en-US" w:eastAsia="zh-CN"/>
              </w:rPr>
              <w:t>废机油</w:t>
            </w:r>
            <w:r>
              <w:rPr>
                <w:rFonts w:hint="default" w:ascii="Times New Roman" w:hAnsi="Times New Roman" w:eastAsia="宋体" w:cs="Times New Roman"/>
                <w:color w:val="000000"/>
                <w:sz w:val="24"/>
                <w:szCs w:val="24"/>
                <w:highlight w:val="none"/>
                <w:lang w:val="en-US" w:eastAsia="zh-CN"/>
              </w:rPr>
              <w:t>发生泄漏，立即进行倒桶处理，更换完好不泄漏的容器进行储存；根据《危险废物贮存污染控制标准》（GB18597-2023）关于防渗要求处理：地面及裙角均采取抗渗水泥防渗，地面水泥厚度为20cm；裙角高度1.5m，厚度20cm，地面及四周裙脚均应耐腐蚀，耐热且表面无裂隙，同时设置泄漏液体的收集装置。防渗层渗透系数小于10</w:t>
            </w:r>
            <w:r>
              <w:rPr>
                <w:rFonts w:hint="default" w:ascii="Times New Roman" w:hAnsi="Times New Roman" w:eastAsia="宋体" w:cs="Times New Roman"/>
                <w:color w:val="000000"/>
                <w:sz w:val="24"/>
                <w:szCs w:val="24"/>
                <w:highlight w:val="none"/>
                <w:vertAlign w:val="superscript"/>
                <w:lang w:val="en-US" w:eastAsia="zh-CN"/>
              </w:rPr>
              <w:t>-10</w:t>
            </w:r>
            <w:r>
              <w:rPr>
                <w:rFonts w:hint="default" w:ascii="Times New Roman" w:hAnsi="Times New Roman" w:eastAsia="宋体" w:cs="Times New Roman"/>
                <w:color w:val="000000"/>
                <w:sz w:val="24"/>
                <w:szCs w:val="24"/>
                <w:highlight w:val="none"/>
                <w:lang w:val="en-US" w:eastAsia="zh-CN"/>
              </w:rPr>
              <w:t>cm/s。</w:t>
            </w:r>
          </w:p>
          <w:p w14:paraId="7F883D7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③</w:t>
            </w:r>
            <w:r>
              <w:rPr>
                <w:rFonts w:hint="default" w:ascii="Times New Roman" w:hAnsi="Times New Roman" w:eastAsia="宋体" w:cs="Times New Roman"/>
                <w:color w:val="000000"/>
                <w:sz w:val="24"/>
                <w:szCs w:val="24"/>
                <w:highlight w:val="none"/>
                <w:lang w:val="en-US" w:eastAsia="zh-CN"/>
              </w:rPr>
              <w:t>制定应急计划，事故发生时，迅速控制危害源，并对造成的危害进行检测、处置，测定事故的危害区域、危险化学品物质及危害程度，直至符合国家环境保护标准。事故后，进行事故后果评价，事故监测数据及事故后果评价均应整理归档。</w:t>
            </w:r>
          </w:p>
          <w:p w14:paraId="21170E0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（4）</w:t>
            </w:r>
            <w:r>
              <w:rPr>
                <w:rFonts w:hint="default" w:ascii="Times New Roman" w:hAnsi="Times New Roman" w:eastAsia="宋体" w:cs="Times New Roman"/>
                <w:color w:val="000000"/>
                <w:sz w:val="24"/>
                <w:szCs w:val="24"/>
                <w:highlight w:val="none"/>
                <w:lang w:val="en-US" w:eastAsia="zh-CN"/>
              </w:rPr>
              <w:t xml:space="preserve">分析结论 </w:t>
            </w:r>
          </w:p>
          <w:p w14:paraId="7C71FAD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left"/>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突发事故多属人为造成的，发生几率与工作人员素质高低、管理措施严格与否有着直接的关系。项目主要的环境风险是</w:t>
            </w:r>
            <w:r>
              <w:rPr>
                <w:rFonts w:hint="default" w:ascii="Times New Roman" w:hAnsi="Times New Roman" w:cs="Times New Roman"/>
                <w:color w:val="000000"/>
                <w:sz w:val="24"/>
                <w:szCs w:val="24"/>
                <w:highlight w:val="none"/>
                <w:lang w:val="en-US" w:eastAsia="zh-CN"/>
              </w:rPr>
              <w:t>废机油</w:t>
            </w:r>
            <w:r>
              <w:rPr>
                <w:rFonts w:hint="default" w:ascii="Times New Roman" w:hAnsi="Times New Roman" w:eastAsia="宋体" w:cs="Times New Roman"/>
                <w:color w:val="000000"/>
                <w:sz w:val="24"/>
                <w:szCs w:val="24"/>
                <w:highlight w:val="none"/>
                <w:lang w:val="en-US" w:eastAsia="zh-CN"/>
              </w:rPr>
              <w:t>泄漏事故，火灾爆炸导致的次生环境污染事故，只要建设单位在运营的过程中认真落实报告中提出的各项环境风险防范措施和应急预案，本项目的危险、有害因素是可以控制和预防的，存在的环境风险是可以接受的。</w:t>
            </w:r>
          </w:p>
          <w:p w14:paraId="5554B3D4">
            <w:pPr>
              <w:pStyle w:val="2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ar"/>
              </w:rPr>
            </w:pPr>
            <w:r>
              <w:rPr>
                <w:rFonts w:hint="eastAsia" w:ascii="Times New Roman" w:hAnsi="Times New Roman" w:eastAsia="宋体" w:cs="Times New Roman"/>
                <w:b/>
                <w:bCs/>
                <w:color w:val="auto"/>
                <w:kern w:val="0"/>
                <w:sz w:val="24"/>
                <w:szCs w:val="24"/>
                <w:highlight w:val="none"/>
                <w:lang w:val="en-US" w:eastAsia="zh-CN" w:bidi="ar"/>
              </w:rPr>
              <w:t>4.2.7</w:t>
            </w:r>
            <w:r>
              <w:rPr>
                <w:rFonts w:hint="default" w:ascii="Times New Roman" w:hAnsi="Times New Roman" w:eastAsia="宋体" w:cs="Times New Roman"/>
                <w:b/>
                <w:bCs/>
                <w:color w:val="auto"/>
                <w:kern w:val="0"/>
                <w:sz w:val="24"/>
                <w:szCs w:val="24"/>
                <w:highlight w:val="none"/>
                <w:lang w:val="en-US" w:eastAsia="zh-CN" w:bidi="ar"/>
              </w:rPr>
              <w:t>监测计划</w:t>
            </w:r>
          </w:p>
          <w:p w14:paraId="49FF40DF">
            <w:pPr>
              <w:pStyle w:val="2"/>
              <w:adjustRightInd w:val="0"/>
              <w:snapToGrid w:val="0"/>
              <w:spacing w:beforeLines="0" w:after="0" w:line="360" w:lineRule="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环境监测是指在</w:t>
            </w:r>
            <w:r>
              <w:rPr>
                <w:rFonts w:hint="default" w:ascii="Times New Roman" w:hAnsi="Times New Roman" w:eastAsia="宋体" w:cs="Times New Roman"/>
                <w:color w:val="auto"/>
                <w:sz w:val="24"/>
                <w:highlight w:val="none"/>
                <w:lang w:eastAsia="zh-CN"/>
              </w:rPr>
              <w:t>项目</w:t>
            </w:r>
            <w:r>
              <w:rPr>
                <w:rFonts w:hint="default" w:ascii="Times New Roman" w:hAnsi="Times New Roman" w:eastAsia="宋体" w:cs="Times New Roman"/>
                <w:color w:val="auto"/>
                <w:sz w:val="24"/>
                <w:highlight w:val="none"/>
              </w:rPr>
              <w:t>运营期对主要污染源进行有计划的监测。环境监测的任务是对生产过程中产生的废气、</w:t>
            </w:r>
            <w:r>
              <w:rPr>
                <w:rFonts w:hint="default" w:ascii="Times New Roman" w:hAnsi="Times New Roman" w:eastAsia="宋体" w:cs="Times New Roman"/>
                <w:color w:val="auto"/>
                <w:sz w:val="24"/>
                <w:highlight w:val="none"/>
                <w:lang w:eastAsia="zh-CN"/>
              </w:rPr>
              <w:t>废水、</w:t>
            </w:r>
            <w:r>
              <w:rPr>
                <w:rFonts w:hint="default" w:ascii="Times New Roman" w:hAnsi="Times New Roman" w:eastAsia="宋体" w:cs="Times New Roman"/>
                <w:color w:val="auto"/>
                <w:sz w:val="24"/>
                <w:highlight w:val="none"/>
              </w:rPr>
              <w:t>噪声等进行监测，为环境管理部门加强工艺设备管理，强化环境管理，编制环保计划，制订防治污染对策提供科学依据。项目建成投产后，公司可委托有监测资质的环境监测单位定期对项目污染源及</w:t>
            </w:r>
            <w:r>
              <w:rPr>
                <w:rFonts w:hint="default" w:ascii="Times New Roman" w:hAnsi="Times New Roman" w:eastAsia="宋体" w:cs="Times New Roman"/>
                <w:color w:val="auto"/>
                <w:sz w:val="24"/>
                <w:highlight w:val="none"/>
                <w:lang w:eastAsia="zh-CN"/>
              </w:rPr>
              <w:t>厂区</w:t>
            </w:r>
            <w:r>
              <w:rPr>
                <w:rFonts w:hint="default" w:ascii="Times New Roman" w:hAnsi="Times New Roman" w:eastAsia="宋体" w:cs="Times New Roman"/>
                <w:color w:val="auto"/>
                <w:sz w:val="24"/>
                <w:highlight w:val="none"/>
              </w:rPr>
              <w:t>环境状况进行例行监测，保证环境保护工作的顺利进行。</w:t>
            </w:r>
            <w:r>
              <w:rPr>
                <w:rFonts w:hint="default" w:ascii="Times New Roman" w:hAnsi="Times New Roman" w:eastAsia="宋体" w:cs="Times New Roman"/>
                <w:color w:val="auto"/>
                <w:sz w:val="24"/>
                <w:highlight w:val="none"/>
                <w:lang w:eastAsia="zh-CN"/>
              </w:rPr>
              <w:t>参照</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排污单位自行监测技术指南 总则</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（HJ819-2017）</w:t>
            </w:r>
            <w:r>
              <w:rPr>
                <w:rFonts w:hint="default" w:ascii="Times New Roman" w:hAnsi="Times New Roman" w:eastAsia="宋体" w:cs="Times New Roman"/>
                <w:color w:val="auto"/>
                <w:sz w:val="24"/>
                <w:highlight w:val="none"/>
              </w:rPr>
              <w:t>，本</w:t>
            </w:r>
            <w:r>
              <w:rPr>
                <w:rFonts w:hint="default" w:ascii="Times New Roman" w:hAnsi="Times New Roman" w:eastAsia="宋体" w:cs="Times New Roman"/>
                <w:color w:val="auto"/>
                <w:sz w:val="24"/>
                <w:highlight w:val="none"/>
                <w:lang w:eastAsia="zh-CN"/>
              </w:rPr>
              <w:t>项目</w:t>
            </w:r>
            <w:r>
              <w:rPr>
                <w:rFonts w:hint="default" w:ascii="Times New Roman" w:hAnsi="Times New Roman" w:eastAsia="宋体" w:cs="Times New Roman"/>
                <w:color w:val="auto"/>
                <w:sz w:val="24"/>
                <w:highlight w:val="none"/>
              </w:rPr>
              <w:t>运营期环境监测计划见下表。</w:t>
            </w:r>
          </w:p>
          <w:p w14:paraId="0DCD93B4">
            <w:pPr>
              <w:pStyle w:val="2"/>
              <w:keepNext w:val="0"/>
              <w:keepLines w:val="0"/>
              <w:pageBreakBefore w:val="0"/>
              <w:widowControl w:val="0"/>
              <w:kinsoku/>
              <w:wordWrap/>
              <w:overflowPunct/>
              <w:topLinePunct w:val="0"/>
              <w:autoSpaceDE/>
              <w:autoSpaceDN/>
              <w:bidi w:val="0"/>
              <w:adjustRightInd w:val="0"/>
              <w:snapToGrid w:val="0"/>
              <w:spacing w:beforeLines="0" w:after="0" w:line="240" w:lineRule="auto"/>
              <w:ind w:left="0" w:leftChars="0" w:firstLine="0" w:firstLineChars="0"/>
              <w:jc w:val="center"/>
              <w:textAlignment w:val="auto"/>
              <w:rPr>
                <w:rFonts w:hint="eastAsia" w:ascii="黑体" w:hAnsi="黑体" w:eastAsia="黑体" w:cs="黑体"/>
                <w:b w:val="0"/>
                <w:bCs/>
                <w:color w:val="auto"/>
                <w:sz w:val="21"/>
                <w:szCs w:val="21"/>
                <w:highlight w:val="none"/>
              </w:rPr>
            </w:pPr>
          </w:p>
          <w:p w14:paraId="4080FCED">
            <w:pPr>
              <w:pStyle w:val="2"/>
              <w:keepNext w:val="0"/>
              <w:keepLines w:val="0"/>
              <w:pageBreakBefore w:val="0"/>
              <w:widowControl w:val="0"/>
              <w:kinsoku/>
              <w:wordWrap/>
              <w:overflowPunct/>
              <w:topLinePunct w:val="0"/>
              <w:autoSpaceDE/>
              <w:autoSpaceDN/>
              <w:bidi w:val="0"/>
              <w:adjustRightInd w:val="0"/>
              <w:snapToGrid w:val="0"/>
              <w:spacing w:beforeLines="0" w:after="0" w:line="240" w:lineRule="auto"/>
              <w:ind w:left="0" w:leftChars="0" w:firstLine="0" w:firstLineChars="0"/>
              <w:jc w:val="center"/>
              <w:textAlignment w:val="auto"/>
              <w:rPr>
                <w:rFonts w:hint="eastAsia" w:ascii="黑体" w:hAnsi="黑体" w:eastAsia="黑体" w:cs="黑体"/>
                <w:b w:val="0"/>
                <w:bCs/>
                <w:color w:val="auto"/>
                <w:sz w:val="21"/>
                <w:szCs w:val="21"/>
                <w:highlight w:val="none"/>
              </w:rPr>
            </w:pPr>
          </w:p>
          <w:p w14:paraId="646AB779">
            <w:pPr>
              <w:pStyle w:val="3"/>
              <w:rPr>
                <w:rFonts w:hint="eastAsia"/>
              </w:rPr>
            </w:pPr>
          </w:p>
          <w:p w14:paraId="358C7453">
            <w:pPr>
              <w:pStyle w:val="2"/>
              <w:keepNext w:val="0"/>
              <w:keepLines w:val="0"/>
              <w:pageBreakBefore w:val="0"/>
              <w:widowControl w:val="0"/>
              <w:kinsoku/>
              <w:wordWrap/>
              <w:overflowPunct/>
              <w:topLinePunct w:val="0"/>
              <w:autoSpaceDE/>
              <w:autoSpaceDN/>
              <w:bidi w:val="0"/>
              <w:adjustRightInd w:val="0"/>
              <w:snapToGrid w:val="0"/>
              <w:spacing w:beforeLines="0" w:after="0" w:line="240" w:lineRule="auto"/>
              <w:ind w:left="0" w:leftChars="0" w:firstLine="0" w:firstLineChars="0"/>
              <w:jc w:val="center"/>
              <w:textAlignment w:val="auto"/>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表</w:t>
            </w:r>
            <w:r>
              <w:rPr>
                <w:rFonts w:hint="eastAsia" w:ascii="黑体" w:hAnsi="黑体" w:eastAsia="黑体" w:cs="黑体"/>
                <w:b w:val="0"/>
                <w:bCs/>
                <w:color w:val="auto"/>
                <w:sz w:val="21"/>
                <w:szCs w:val="21"/>
                <w:highlight w:val="none"/>
                <w:lang w:val="en-US" w:eastAsia="zh-CN"/>
              </w:rPr>
              <w:t>4-17</w:t>
            </w:r>
            <w:r>
              <w:rPr>
                <w:rFonts w:hint="eastAsia" w:ascii="黑体" w:hAnsi="黑体" w:eastAsia="黑体" w:cs="黑体"/>
                <w:b w:val="0"/>
                <w:bCs/>
                <w:color w:val="auto"/>
                <w:sz w:val="21"/>
                <w:szCs w:val="21"/>
                <w:highlight w:val="none"/>
              </w:rPr>
              <w:t>环境监测内容一览表</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760"/>
              <w:gridCol w:w="1456"/>
              <w:gridCol w:w="1339"/>
              <w:gridCol w:w="2617"/>
            </w:tblGrid>
            <w:tr w14:paraId="3B4A68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36" w:type="pct"/>
                  <w:tcBorders>
                    <w:tl2br w:val="nil"/>
                    <w:tr2bl w:val="nil"/>
                  </w:tcBorders>
                  <w:noWrap w:val="0"/>
                  <w:vAlign w:val="center"/>
                </w:tcPr>
                <w:p w14:paraId="7E7BE7BA">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类别</w:t>
                  </w:r>
                </w:p>
              </w:tc>
              <w:tc>
                <w:tcPr>
                  <w:tcW w:w="1144" w:type="pct"/>
                  <w:tcBorders>
                    <w:tl2br w:val="nil"/>
                    <w:tr2bl w:val="nil"/>
                  </w:tcBorders>
                  <w:noWrap w:val="0"/>
                  <w:vAlign w:val="center"/>
                </w:tcPr>
                <w:p w14:paraId="35142AE3">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w:t>
                  </w:r>
                </w:p>
              </w:tc>
              <w:tc>
                <w:tcPr>
                  <w:tcW w:w="946" w:type="pct"/>
                  <w:tcBorders>
                    <w:tl2br w:val="nil"/>
                    <w:tr2bl w:val="nil"/>
                  </w:tcBorders>
                  <w:noWrap w:val="0"/>
                  <w:vAlign w:val="center"/>
                </w:tcPr>
                <w:p w14:paraId="670AED4F">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监测项目</w:t>
                  </w:r>
                </w:p>
              </w:tc>
              <w:tc>
                <w:tcPr>
                  <w:tcW w:w="870" w:type="pct"/>
                  <w:tcBorders>
                    <w:tl2br w:val="nil"/>
                    <w:tr2bl w:val="nil"/>
                  </w:tcBorders>
                  <w:noWrap w:val="0"/>
                  <w:vAlign w:val="center"/>
                </w:tcPr>
                <w:p w14:paraId="7EE01587">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监测频次</w:t>
                  </w:r>
                </w:p>
              </w:tc>
              <w:tc>
                <w:tcPr>
                  <w:tcW w:w="1701" w:type="pct"/>
                  <w:tcBorders>
                    <w:tl2br w:val="nil"/>
                    <w:tr2bl w:val="nil"/>
                  </w:tcBorders>
                  <w:noWrap w:val="0"/>
                  <w:vAlign w:val="center"/>
                </w:tcPr>
                <w:p w14:paraId="4F98A257">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执行标准</w:t>
                  </w:r>
                </w:p>
              </w:tc>
            </w:tr>
            <w:tr w14:paraId="4D8C5A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336" w:type="pct"/>
                  <w:tcBorders>
                    <w:tl2br w:val="nil"/>
                    <w:tr2bl w:val="nil"/>
                  </w:tcBorders>
                  <w:noWrap w:val="0"/>
                  <w:vAlign w:val="center"/>
                </w:tcPr>
                <w:p w14:paraId="32819DA4">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1144" w:type="pct"/>
                  <w:tcBorders>
                    <w:tl2br w:val="nil"/>
                    <w:tr2bl w:val="nil"/>
                  </w:tcBorders>
                  <w:noWrap w:val="0"/>
                  <w:vAlign w:val="center"/>
                </w:tcPr>
                <w:p w14:paraId="61C96B0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highlight w:val="none"/>
                    </w:rPr>
                    <w:t>厂界（上风向一个点、下风向三个点）</w:t>
                  </w:r>
                </w:p>
              </w:tc>
              <w:tc>
                <w:tcPr>
                  <w:tcW w:w="946" w:type="pct"/>
                  <w:tcBorders>
                    <w:tl2br w:val="nil"/>
                    <w:tr2bl w:val="nil"/>
                  </w:tcBorders>
                  <w:noWrap w:val="0"/>
                  <w:vAlign w:val="center"/>
                </w:tcPr>
                <w:p w14:paraId="3162062D">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NOx</w:t>
                  </w:r>
                </w:p>
              </w:tc>
              <w:tc>
                <w:tcPr>
                  <w:tcW w:w="870" w:type="pct"/>
                  <w:tcBorders>
                    <w:tl2br w:val="nil"/>
                    <w:tr2bl w:val="nil"/>
                  </w:tcBorders>
                  <w:noWrap w:val="0"/>
                  <w:vAlign w:val="center"/>
                </w:tcPr>
                <w:p w14:paraId="1EE7D533">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1次/年</w:t>
                  </w:r>
                </w:p>
              </w:tc>
              <w:tc>
                <w:tcPr>
                  <w:tcW w:w="1701" w:type="pct"/>
                  <w:tcBorders>
                    <w:tl2br w:val="nil"/>
                    <w:tr2bl w:val="nil"/>
                  </w:tcBorders>
                  <w:noWrap w:val="0"/>
                  <w:vAlign w:val="center"/>
                </w:tcPr>
                <w:p w14:paraId="55E1F563">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《大气污染物综合排放标准》（GB16297-1996）</w:t>
                  </w:r>
                </w:p>
              </w:tc>
            </w:tr>
            <w:tr w14:paraId="69F447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36" w:type="pct"/>
                  <w:tcBorders>
                    <w:tl2br w:val="nil"/>
                    <w:tr2bl w:val="nil"/>
                  </w:tcBorders>
                  <w:noWrap w:val="0"/>
                  <w:vAlign w:val="center"/>
                </w:tcPr>
                <w:p w14:paraId="73A91689">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1144" w:type="pct"/>
                  <w:tcBorders>
                    <w:tl2br w:val="nil"/>
                    <w:tr2bl w:val="nil"/>
                  </w:tcBorders>
                  <w:noWrap w:val="0"/>
                  <w:vAlign w:val="center"/>
                </w:tcPr>
                <w:p w14:paraId="6BE707B3">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项目东、南、西、北</w:t>
                  </w:r>
                  <w:r>
                    <w:rPr>
                      <w:rFonts w:hint="default" w:ascii="Times New Roman" w:hAnsi="Times New Roman" w:eastAsia="宋体" w:cs="Times New Roman"/>
                      <w:color w:val="auto"/>
                      <w:sz w:val="21"/>
                      <w:szCs w:val="21"/>
                      <w:highlight w:val="none"/>
                      <w:lang w:val="en-US" w:eastAsia="zh-CN"/>
                    </w:rPr>
                    <w:t>厂区</w:t>
                  </w:r>
                  <w:r>
                    <w:rPr>
                      <w:rFonts w:hint="default" w:ascii="Times New Roman" w:hAnsi="Times New Roman" w:eastAsia="宋体" w:cs="Times New Roman"/>
                      <w:color w:val="auto"/>
                      <w:sz w:val="21"/>
                      <w:szCs w:val="21"/>
                      <w:highlight w:val="none"/>
                    </w:rPr>
                    <w:t>边界</w:t>
                  </w:r>
                </w:p>
              </w:tc>
              <w:tc>
                <w:tcPr>
                  <w:tcW w:w="946" w:type="pct"/>
                  <w:tcBorders>
                    <w:tl2br w:val="nil"/>
                    <w:tr2bl w:val="nil"/>
                  </w:tcBorders>
                  <w:noWrap w:val="0"/>
                  <w:vAlign w:val="center"/>
                </w:tcPr>
                <w:p w14:paraId="08152D2C">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w:t>
                  </w:r>
                  <w:r>
                    <w:rPr>
                      <w:rFonts w:hint="default" w:ascii="Times New Roman" w:hAnsi="Times New Roman" w:cs="Times New Roman"/>
                      <w:color w:val="auto"/>
                      <w:sz w:val="21"/>
                      <w:szCs w:val="21"/>
                      <w:highlight w:val="none"/>
                      <w:lang w:eastAsia="zh-CN"/>
                    </w:rPr>
                    <w:t>间</w:t>
                  </w:r>
                  <w:r>
                    <w:rPr>
                      <w:rFonts w:hint="default" w:ascii="Times New Roman" w:hAnsi="Times New Roman" w:eastAsia="宋体" w:cs="Times New Roman"/>
                      <w:color w:val="auto"/>
                      <w:sz w:val="21"/>
                      <w:szCs w:val="21"/>
                      <w:highlight w:val="none"/>
                    </w:rPr>
                    <w:t>噪声级</w:t>
                  </w:r>
                </w:p>
              </w:tc>
              <w:tc>
                <w:tcPr>
                  <w:tcW w:w="870" w:type="pct"/>
                  <w:tcBorders>
                    <w:tl2br w:val="nil"/>
                    <w:tr2bl w:val="nil"/>
                  </w:tcBorders>
                  <w:noWrap w:val="0"/>
                  <w:vAlign w:val="center"/>
                </w:tcPr>
                <w:p w14:paraId="379C1631">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每季度1次</w:t>
                  </w:r>
                </w:p>
              </w:tc>
              <w:tc>
                <w:tcPr>
                  <w:tcW w:w="1701" w:type="pct"/>
                  <w:tcBorders>
                    <w:tl2br w:val="nil"/>
                    <w:tr2bl w:val="nil"/>
                  </w:tcBorders>
                  <w:noWrap w:val="0"/>
                  <w:vAlign w:val="center"/>
                </w:tcPr>
                <w:p w14:paraId="307F1DCC">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《工业企业厂界环境噪声排放标准》</w:t>
                  </w: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rPr>
                    <w:t>类</w:t>
                  </w:r>
                  <w:r>
                    <w:rPr>
                      <w:rFonts w:hint="default" w:ascii="Times New Roman" w:hAnsi="Times New Roman" w:cs="Times New Roman"/>
                      <w:color w:val="auto"/>
                      <w:sz w:val="21"/>
                      <w:szCs w:val="21"/>
                      <w:highlight w:val="none"/>
                    </w:rPr>
                    <w:t>标准</w:t>
                  </w:r>
                </w:p>
              </w:tc>
            </w:tr>
            <w:tr w14:paraId="04DB6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36" w:type="pct"/>
                  <w:tcBorders>
                    <w:tl2br w:val="nil"/>
                    <w:tr2bl w:val="nil"/>
                  </w:tcBorders>
                  <w:noWrap w:val="0"/>
                  <w:vAlign w:val="center"/>
                </w:tcPr>
                <w:p w14:paraId="74131736">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bookmarkStart w:id="5" w:name="_Toc30011"/>
                  <w:r>
                    <w:rPr>
                      <w:rFonts w:hint="eastAsia" w:cs="Times New Roman"/>
                      <w:color w:val="auto"/>
                      <w:sz w:val="21"/>
                      <w:szCs w:val="21"/>
                      <w:highlight w:val="none"/>
                      <w:lang w:val="en-US" w:eastAsia="zh-CN"/>
                    </w:rPr>
                    <w:t>废水</w:t>
                  </w:r>
                </w:p>
              </w:tc>
              <w:tc>
                <w:tcPr>
                  <w:tcW w:w="1144" w:type="pct"/>
                  <w:tcBorders>
                    <w:tl2br w:val="nil"/>
                    <w:tr2bl w:val="nil"/>
                  </w:tcBorders>
                  <w:noWrap w:val="0"/>
                  <w:vAlign w:val="center"/>
                </w:tcPr>
                <w:p w14:paraId="08F51310">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生活污水排放口</w:t>
                  </w:r>
                </w:p>
              </w:tc>
              <w:tc>
                <w:tcPr>
                  <w:tcW w:w="946" w:type="pct"/>
                  <w:tcBorders>
                    <w:tl2br w:val="nil"/>
                    <w:tr2bl w:val="nil"/>
                  </w:tcBorders>
                  <w:noWrap w:val="0"/>
                  <w:vAlign w:val="center"/>
                </w:tcPr>
                <w:p w14:paraId="1F2A0A41">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COD、BOD、NH</w:t>
                  </w:r>
                  <w:r>
                    <w:rPr>
                      <w:rFonts w:hint="eastAsia" w:cs="Times New Roman"/>
                      <w:color w:val="auto"/>
                      <w:sz w:val="21"/>
                      <w:szCs w:val="21"/>
                      <w:highlight w:val="none"/>
                      <w:vertAlign w:val="subscript"/>
                      <w:lang w:val="en-US" w:eastAsia="zh-CN"/>
                    </w:rPr>
                    <w:t>3</w:t>
                  </w:r>
                  <w:r>
                    <w:rPr>
                      <w:rFonts w:hint="eastAsia" w:cs="Times New Roman"/>
                      <w:color w:val="auto"/>
                      <w:sz w:val="21"/>
                      <w:szCs w:val="21"/>
                      <w:highlight w:val="none"/>
                      <w:lang w:val="en-US" w:eastAsia="zh-CN"/>
                    </w:rPr>
                    <w:t>-N、TP、TN、SS</w:t>
                  </w:r>
                </w:p>
              </w:tc>
              <w:tc>
                <w:tcPr>
                  <w:tcW w:w="870" w:type="pct"/>
                  <w:tcBorders>
                    <w:tl2br w:val="nil"/>
                    <w:tr2bl w:val="nil"/>
                  </w:tcBorders>
                  <w:noWrap w:val="0"/>
                  <w:vAlign w:val="center"/>
                </w:tcPr>
                <w:p w14:paraId="64D2D446">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1次/年</w:t>
                  </w:r>
                </w:p>
              </w:tc>
              <w:tc>
                <w:tcPr>
                  <w:tcW w:w="1701" w:type="pct"/>
                  <w:tcBorders>
                    <w:tl2br w:val="nil"/>
                    <w:tr2bl w:val="nil"/>
                  </w:tcBorders>
                  <w:noWrap w:val="0"/>
                  <w:vAlign w:val="center"/>
                </w:tcPr>
                <w:p w14:paraId="106066B0">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firstLine="0" w:firstLineChars="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eastAsia="宋体" w:cs="Times New Roman"/>
                      <w:b w:val="0"/>
                      <w:bCs w:val="0"/>
                      <w:color w:val="auto"/>
                      <w:sz w:val="21"/>
                      <w:szCs w:val="21"/>
                      <w:highlight w:val="none"/>
                    </w:rPr>
                    <w:t>《辽宁省污水综合排放标准》（DB21/1627-2008）</w:t>
                  </w:r>
                </w:p>
              </w:tc>
            </w:tr>
          </w:tbl>
          <w:p w14:paraId="126315F8">
            <w:pPr>
              <w:pStyle w:val="11"/>
              <w:pageBreakBefore w:val="0"/>
              <w:widowControl w:val="0"/>
              <w:kinsoku/>
              <w:wordWrap/>
              <w:overflowPunct/>
              <w:topLinePunct w:val="0"/>
              <w:autoSpaceDE/>
              <w:autoSpaceDN/>
              <w:bidi w:val="0"/>
              <w:adjustRightInd w:val="0"/>
              <w:snapToGrid w:val="0"/>
              <w:spacing w:beforeLines="0" w:afterLines="0"/>
              <w:textAlignment w:val="auto"/>
              <w:rPr>
                <w:rFonts w:hint="eastAsia" w:ascii="Times New Roman" w:hAnsi="Times New Roman" w:eastAsia="宋体" w:cs="Times New Roman"/>
                <w:color w:val="auto"/>
                <w:kern w:val="2"/>
                <w:highlight w:val="none"/>
                <w:lang w:val="en-US" w:eastAsia="zh-CN"/>
              </w:rPr>
            </w:pPr>
            <w:r>
              <w:rPr>
                <w:rFonts w:hint="eastAsia"/>
                <w:color w:val="auto"/>
                <w:highlight w:val="none"/>
                <w:lang w:val="en-US" w:eastAsia="zh-CN"/>
              </w:rPr>
              <w:t>4.2.8排污口规范化设置</w:t>
            </w:r>
            <w:bookmarkEnd w:id="5"/>
          </w:p>
          <w:p w14:paraId="638D72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根据《固定污染源排污许可分类管理名录》（2019年版）规定</w:t>
            </w:r>
            <w:r>
              <w:rPr>
                <w:rFonts w:hint="eastAsia" w:cs="Times New Roman"/>
                <w:color w:val="auto"/>
                <w:sz w:val="24"/>
                <w:szCs w:val="24"/>
                <w:highlight w:val="none"/>
                <w:lang w:val="en-US" w:eastAsia="zh-CN"/>
              </w:rPr>
              <w:t>进行排污许可管理</w:t>
            </w:r>
            <w:r>
              <w:rPr>
                <w:rFonts w:hint="eastAsia" w:ascii="Times New Roman" w:hAnsi="Times New Roman" w:eastAsia="宋体" w:cs="Times New Roman"/>
                <w:color w:val="auto"/>
                <w:sz w:val="24"/>
                <w:szCs w:val="24"/>
                <w:highlight w:val="none"/>
                <w:lang w:val="en-US" w:eastAsia="zh-CN"/>
              </w:rPr>
              <w:t>。排污口严格按照《排污口规范化整治技术要求（试行）》（环监[1996]470号）、《环监保护图形标志实施细则（试行）》（环监[1996]463号）、《环监保护图形标志——排污口（源）》（GB15562.1-1995）进行规范化设置。</w:t>
            </w:r>
          </w:p>
          <w:p w14:paraId="3D84A0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 xml:space="preserve">）排污口规范化管理的基本原则 </w:t>
            </w:r>
          </w:p>
          <w:p w14:paraId="35DF4A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①向环境排放污染物的排污口必须规范化；</w:t>
            </w:r>
          </w:p>
          <w:p w14:paraId="5405E0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②根据本项目的特点，应把列入总量控制指标的的排污口作为管理的重点； </w:t>
            </w:r>
          </w:p>
          <w:p w14:paraId="4B8030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③排污口应便于采样与计量监测，便于日常现场监督检查。 </w:t>
            </w:r>
          </w:p>
          <w:p w14:paraId="09EC13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（2）排污口的技术要求</w:t>
            </w:r>
          </w:p>
          <w:p w14:paraId="65341D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①排污口位置 </w:t>
            </w:r>
          </w:p>
          <w:p w14:paraId="0522F5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排污口位置必须合理确定，按环监</w:t>
            </w:r>
            <w:r>
              <w:rPr>
                <w:rFonts w:hint="default" w:ascii="Times New Roman" w:hAnsi="Times New Roman" w:eastAsia="宋体" w:cs="Times New Roman"/>
                <w:color w:val="auto"/>
                <w:sz w:val="24"/>
                <w:szCs w:val="24"/>
                <w:highlight w:val="none"/>
                <w:lang w:val="en-US" w:eastAsia="zh-CN"/>
              </w:rPr>
              <w:t>[1996]470</w:t>
            </w:r>
            <w:r>
              <w:rPr>
                <w:rFonts w:hint="eastAsia" w:ascii="Times New Roman" w:hAnsi="Times New Roman" w:eastAsia="宋体" w:cs="Times New Roman"/>
                <w:color w:val="auto"/>
                <w:sz w:val="24"/>
                <w:szCs w:val="24"/>
                <w:highlight w:val="none"/>
                <w:lang w:val="en-US" w:eastAsia="zh-CN"/>
              </w:rPr>
              <w:t xml:space="preserve">号文件要求进行规范化管理。 </w:t>
            </w:r>
          </w:p>
          <w:p w14:paraId="038E9C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②排污口监控 </w:t>
            </w:r>
          </w:p>
          <w:p w14:paraId="3C5BE2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对主要废气排放口（排气筒）实行定期监控，以便及时掌握污染源动态，预防污染事故的发生，同时所有排气筒应设有观测、取样、维修通道，采样孔和采样平台、楼梯等设置，设置应符合《污染源监测技术规范》和《固定源废气监测技术规范》要求。 </w:t>
            </w:r>
          </w:p>
          <w:p w14:paraId="2324A7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③排污口立标</w:t>
            </w:r>
          </w:p>
          <w:p w14:paraId="438843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黑体" w:hAnsi="黑体" w:eastAsia="黑体" w:cs="黑体"/>
                <w:color w:val="auto"/>
                <w:sz w:val="21"/>
                <w:szCs w:val="21"/>
                <w:highlight w:val="none"/>
                <w:lang w:val="en-US" w:eastAsia="zh-CN"/>
              </w:rPr>
            </w:pPr>
            <w:r>
              <w:rPr>
                <w:rFonts w:hint="eastAsia" w:ascii="Times New Roman" w:hAnsi="Times New Roman" w:eastAsia="宋体" w:cs="Times New Roman"/>
                <w:color w:val="auto"/>
                <w:sz w:val="24"/>
                <w:szCs w:val="24"/>
                <w:highlight w:val="none"/>
                <w:lang w:val="en-US" w:eastAsia="zh-CN"/>
              </w:rPr>
              <w:t>项目污染物排放口应按国家《环境保护图形标志</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排放口</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源</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》和《环境保护图形标志</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固体废物贮存</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处置</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 xml:space="preserve">场》规定，设置国家环境保护总局统一制作的环境保护图形标志牌。 </w:t>
            </w:r>
            <w:r>
              <w:rPr>
                <w:rFonts w:hint="eastAsia" w:cs="Times New Roman"/>
                <w:color w:val="auto"/>
                <w:sz w:val="24"/>
                <w:szCs w:val="24"/>
                <w:highlight w:val="none"/>
                <w:lang w:val="en-US" w:eastAsia="zh-CN"/>
              </w:rPr>
              <w:t>具体排污口图形符号如下表所示。</w:t>
            </w:r>
          </w:p>
          <w:p w14:paraId="6FD42FC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auto"/>
                <w:sz w:val="24"/>
                <w:szCs w:val="24"/>
                <w:highlight w:val="none"/>
                <w:lang w:val="en-US" w:eastAsia="zh-CN"/>
              </w:rPr>
            </w:pPr>
            <w:r>
              <w:rPr>
                <w:rFonts w:hint="eastAsia" w:ascii="黑体" w:hAnsi="黑体" w:eastAsia="黑体" w:cs="黑体"/>
                <w:color w:val="auto"/>
                <w:sz w:val="21"/>
                <w:szCs w:val="21"/>
                <w:highlight w:val="none"/>
                <w:lang w:val="en-US" w:eastAsia="zh-CN"/>
              </w:rPr>
              <w:t>表4-18排污口图形符号汇总表</w:t>
            </w:r>
          </w:p>
          <w:tbl>
            <w:tblPr>
              <w:tblStyle w:val="25"/>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953"/>
              <w:gridCol w:w="1856"/>
              <w:gridCol w:w="1300"/>
              <w:gridCol w:w="1777"/>
            </w:tblGrid>
            <w:tr w14:paraId="2DC55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127C7044">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序号</w:t>
                  </w:r>
                </w:p>
              </w:tc>
              <w:tc>
                <w:tcPr>
                  <w:tcW w:w="1269" w:type="pct"/>
                  <w:tcBorders>
                    <w:tl2br w:val="nil"/>
                    <w:tr2bl w:val="nil"/>
                  </w:tcBorders>
                  <w:vAlign w:val="center"/>
                </w:tcPr>
                <w:p w14:paraId="6E9E04EC">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提示图形符号</w:t>
                  </w:r>
                </w:p>
              </w:tc>
              <w:tc>
                <w:tcPr>
                  <w:tcW w:w="1206" w:type="pct"/>
                  <w:tcBorders>
                    <w:tl2br w:val="nil"/>
                    <w:tr2bl w:val="nil"/>
                  </w:tcBorders>
                  <w:vAlign w:val="center"/>
                </w:tcPr>
                <w:p w14:paraId="534CC1E8">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警告图形符号</w:t>
                  </w:r>
                </w:p>
              </w:tc>
              <w:tc>
                <w:tcPr>
                  <w:tcW w:w="845" w:type="pct"/>
                  <w:tcBorders>
                    <w:tl2br w:val="nil"/>
                    <w:tr2bl w:val="nil"/>
                  </w:tcBorders>
                  <w:vAlign w:val="center"/>
                </w:tcPr>
                <w:p w14:paraId="0CAFA0C6">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名称</w:t>
                  </w:r>
                </w:p>
              </w:tc>
              <w:tc>
                <w:tcPr>
                  <w:tcW w:w="1155" w:type="pct"/>
                  <w:tcBorders>
                    <w:tl2br w:val="nil"/>
                    <w:tr2bl w:val="nil"/>
                  </w:tcBorders>
                  <w:vAlign w:val="center"/>
                </w:tcPr>
                <w:p w14:paraId="547BB9C6">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功能</w:t>
                  </w:r>
                </w:p>
              </w:tc>
            </w:tr>
            <w:tr w14:paraId="03D243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68E48470">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269" w:type="pct"/>
                  <w:tcBorders>
                    <w:tl2br w:val="nil"/>
                    <w:tr2bl w:val="nil"/>
                  </w:tcBorders>
                  <w:vAlign w:val="center"/>
                </w:tcPr>
                <w:p w14:paraId="61E8509A">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7880" cy="636270"/>
                        <wp:effectExtent l="0" t="0" r="127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817880" cy="636270"/>
                                </a:xfrm>
                                <a:prstGeom prst="rect">
                                  <a:avLst/>
                                </a:prstGeom>
                                <a:noFill/>
                                <a:ln>
                                  <a:noFill/>
                                </a:ln>
                              </pic:spPr>
                            </pic:pic>
                          </a:graphicData>
                        </a:graphic>
                      </wp:inline>
                    </w:drawing>
                  </w:r>
                </w:p>
              </w:tc>
              <w:tc>
                <w:tcPr>
                  <w:tcW w:w="1206" w:type="pct"/>
                  <w:tcBorders>
                    <w:tl2br w:val="nil"/>
                    <w:tr2bl w:val="nil"/>
                  </w:tcBorders>
                  <w:vAlign w:val="center"/>
                </w:tcPr>
                <w:p w14:paraId="325D3A00">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9150" cy="671830"/>
                        <wp:effectExtent l="0" t="0" r="0"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819150" cy="671830"/>
                                </a:xfrm>
                                <a:prstGeom prst="rect">
                                  <a:avLst/>
                                </a:prstGeom>
                                <a:noFill/>
                                <a:ln>
                                  <a:noFill/>
                                </a:ln>
                              </pic:spPr>
                            </pic:pic>
                          </a:graphicData>
                        </a:graphic>
                      </wp:inline>
                    </w:drawing>
                  </w:r>
                </w:p>
              </w:tc>
              <w:tc>
                <w:tcPr>
                  <w:tcW w:w="845" w:type="pct"/>
                  <w:tcBorders>
                    <w:tl2br w:val="nil"/>
                    <w:tr2bl w:val="nil"/>
                  </w:tcBorders>
                  <w:vAlign w:val="center"/>
                </w:tcPr>
                <w:p w14:paraId="16D4C6C2">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废水排放口</w:t>
                  </w:r>
                </w:p>
              </w:tc>
              <w:tc>
                <w:tcPr>
                  <w:tcW w:w="1155" w:type="pct"/>
                  <w:tcBorders>
                    <w:tl2br w:val="nil"/>
                    <w:tr2bl w:val="nil"/>
                  </w:tcBorders>
                  <w:vAlign w:val="center"/>
                </w:tcPr>
                <w:p w14:paraId="0AE70836">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表示废水向水体排放</w:t>
                  </w:r>
                </w:p>
              </w:tc>
            </w:tr>
            <w:tr w14:paraId="6D967F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37F6B0E0">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p>
              </w:tc>
              <w:tc>
                <w:tcPr>
                  <w:tcW w:w="1269" w:type="pct"/>
                  <w:tcBorders>
                    <w:tl2br w:val="nil"/>
                    <w:tr2bl w:val="nil"/>
                  </w:tcBorders>
                  <w:vAlign w:val="center"/>
                </w:tcPr>
                <w:p w14:paraId="2288EDEE">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7880" cy="799465"/>
                        <wp:effectExtent l="0" t="0" r="1270" b="63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2"/>
                                <a:stretch>
                                  <a:fillRect/>
                                </a:stretch>
                              </pic:blipFill>
                              <pic:spPr>
                                <a:xfrm>
                                  <a:off x="0" y="0"/>
                                  <a:ext cx="817880" cy="799465"/>
                                </a:xfrm>
                                <a:prstGeom prst="rect">
                                  <a:avLst/>
                                </a:prstGeom>
                                <a:noFill/>
                                <a:ln>
                                  <a:noFill/>
                                </a:ln>
                              </pic:spPr>
                            </pic:pic>
                          </a:graphicData>
                        </a:graphic>
                      </wp:inline>
                    </w:drawing>
                  </w:r>
                </w:p>
              </w:tc>
              <w:tc>
                <w:tcPr>
                  <w:tcW w:w="1206" w:type="pct"/>
                  <w:tcBorders>
                    <w:tl2br w:val="nil"/>
                    <w:tr2bl w:val="nil"/>
                  </w:tcBorders>
                  <w:vAlign w:val="center"/>
                </w:tcPr>
                <w:p w14:paraId="5130225B">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9150" cy="801370"/>
                        <wp:effectExtent l="0" t="0" r="0" b="1778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3"/>
                                <a:stretch>
                                  <a:fillRect/>
                                </a:stretch>
                              </pic:blipFill>
                              <pic:spPr>
                                <a:xfrm>
                                  <a:off x="0" y="0"/>
                                  <a:ext cx="819150" cy="801370"/>
                                </a:xfrm>
                                <a:prstGeom prst="rect">
                                  <a:avLst/>
                                </a:prstGeom>
                                <a:noFill/>
                                <a:ln>
                                  <a:noFill/>
                                </a:ln>
                              </pic:spPr>
                            </pic:pic>
                          </a:graphicData>
                        </a:graphic>
                      </wp:inline>
                    </w:drawing>
                  </w:r>
                </w:p>
              </w:tc>
              <w:tc>
                <w:tcPr>
                  <w:tcW w:w="845" w:type="pct"/>
                  <w:tcBorders>
                    <w:tl2br w:val="nil"/>
                    <w:tr2bl w:val="nil"/>
                  </w:tcBorders>
                  <w:vAlign w:val="center"/>
                </w:tcPr>
                <w:p w14:paraId="324E38EF">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一般固体</w:t>
                  </w:r>
                </w:p>
              </w:tc>
              <w:tc>
                <w:tcPr>
                  <w:tcW w:w="1155" w:type="pct"/>
                  <w:tcBorders>
                    <w:tl2br w:val="nil"/>
                    <w:tr2bl w:val="nil"/>
                  </w:tcBorders>
                  <w:vAlign w:val="center"/>
                </w:tcPr>
                <w:p w14:paraId="08EFC9FD">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表示一般固体废物贮存、处置厂</w:t>
                  </w:r>
                </w:p>
              </w:tc>
            </w:tr>
            <w:tr w14:paraId="2346E4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7ECC70C8">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w:t>
                  </w:r>
                </w:p>
              </w:tc>
              <w:tc>
                <w:tcPr>
                  <w:tcW w:w="1269" w:type="pct"/>
                  <w:tcBorders>
                    <w:tl2br w:val="nil"/>
                    <w:tr2bl w:val="nil"/>
                  </w:tcBorders>
                  <w:vAlign w:val="center"/>
                </w:tcPr>
                <w:p w14:paraId="1621C0C0">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7880" cy="808990"/>
                        <wp:effectExtent l="0" t="0" r="1270" b="10160"/>
                        <wp:docPr id="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pic:cNvPicPr>
                                  <a:picLocks noChangeAspect="1"/>
                                </pic:cNvPicPr>
                              </pic:nvPicPr>
                              <pic:blipFill>
                                <a:blip r:embed="rId14"/>
                                <a:stretch>
                                  <a:fillRect/>
                                </a:stretch>
                              </pic:blipFill>
                              <pic:spPr>
                                <a:xfrm>
                                  <a:off x="0" y="0"/>
                                  <a:ext cx="817880" cy="808990"/>
                                </a:xfrm>
                                <a:prstGeom prst="rect">
                                  <a:avLst/>
                                </a:prstGeom>
                                <a:noFill/>
                                <a:ln>
                                  <a:noFill/>
                                </a:ln>
                              </pic:spPr>
                            </pic:pic>
                          </a:graphicData>
                        </a:graphic>
                      </wp:inline>
                    </w:drawing>
                  </w:r>
                </w:p>
              </w:tc>
              <w:tc>
                <w:tcPr>
                  <w:tcW w:w="1206" w:type="pct"/>
                  <w:tcBorders>
                    <w:tl2br w:val="nil"/>
                    <w:tr2bl w:val="nil"/>
                  </w:tcBorders>
                  <w:vAlign w:val="center"/>
                </w:tcPr>
                <w:p w14:paraId="283383F3">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9150" cy="741045"/>
                        <wp:effectExtent l="0" t="0" r="0" b="190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15"/>
                                <a:stretch>
                                  <a:fillRect/>
                                </a:stretch>
                              </pic:blipFill>
                              <pic:spPr>
                                <a:xfrm>
                                  <a:off x="0" y="0"/>
                                  <a:ext cx="819150" cy="741045"/>
                                </a:xfrm>
                                <a:prstGeom prst="rect">
                                  <a:avLst/>
                                </a:prstGeom>
                                <a:noFill/>
                                <a:ln>
                                  <a:noFill/>
                                </a:ln>
                              </pic:spPr>
                            </pic:pic>
                          </a:graphicData>
                        </a:graphic>
                      </wp:inline>
                    </w:drawing>
                  </w:r>
                </w:p>
              </w:tc>
              <w:tc>
                <w:tcPr>
                  <w:tcW w:w="845" w:type="pct"/>
                  <w:tcBorders>
                    <w:tl2br w:val="nil"/>
                    <w:tr2bl w:val="nil"/>
                  </w:tcBorders>
                  <w:vAlign w:val="center"/>
                </w:tcPr>
                <w:p w14:paraId="1A4E8545">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噪声排放源</w:t>
                  </w:r>
                </w:p>
              </w:tc>
              <w:tc>
                <w:tcPr>
                  <w:tcW w:w="1155" w:type="pct"/>
                  <w:tcBorders>
                    <w:tl2br w:val="nil"/>
                    <w:tr2bl w:val="nil"/>
                  </w:tcBorders>
                  <w:vAlign w:val="center"/>
                </w:tcPr>
                <w:p w14:paraId="260DF488">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表示噪声向外环境排放</w:t>
                  </w:r>
                </w:p>
              </w:tc>
            </w:tr>
            <w:tr w14:paraId="12BC3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vAlign w:val="center"/>
                </w:tcPr>
                <w:p w14:paraId="21055BDF">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w:t>
                  </w:r>
                </w:p>
              </w:tc>
              <w:tc>
                <w:tcPr>
                  <w:tcW w:w="1269" w:type="pct"/>
                  <w:tcBorders>
                    <w:tl2br w:val="nil"/>
                    <w:tr2bl w:val="nil"/>
                  </w:tcBorders>
                  <w:vAlign w:val="center"/>
                </w:tcPr>
                <w:p w14:paraId="19118283">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1206" w:type="pct"/>
                  <w:tcBorders>
                    <w:tl2br w:val="nil"/>
                    <w:tr2bl w:val="nil"/>
                  </w:tcBorders>
                  <w:vAlign w:val="center"/>
                </w:tcPr>
                <w:p w14:paraId="41199BE9">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drawing>
                      <wp:inline distT="0" distB="0" distL="114300" distR="114300">
                        <wp:extent cx="818515" cy="683260"/>
                        <wp:effectExtent l="0" t="0" r="635" b="254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16"/>
                                <a:stretch>
                                  <a:fillRect/>
                                </a:stretch>
                              </pic:blipFill>
                              <pic:spPr>
                                <a:xfrm>
                                  <a:off x="0" y="0"/>
                                  <a:ext cx="818515" cy="683260"/>
                                </a:xfrm>
                                <a:prstGeom prst="rect">
                                  <a:avLst/>
                                </a:prstGeom>
                                <a:noFill/>
                                <a:ln>
                                  <a:noFill/>
                                </a:ln>
                              </pic:spPr>
                            </pic:pic>
                          </a:graphicData>
                        </a:graphic>
                      </wp:inline>
                    </w:drawing>
                  </w:r>
                </w:p>
              </w:tc>
              <w:tc>
                <w:tcPr>
                  <w:tcW w:w="845" w:type="pct"/>
                  <w:tcBorders>
                    <w:tl2br w:val="nil"/>
                    <w:tr2bl w:val="nil"/>
                  </w:tcBorders>
                  <w:vAlign w:val="center"/>
                </w:tcPr>
                <w:p w14:paraId="76231A05">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危险废物</w:t>
                  </w:r>
                </w:p>
              </w:tc>
              <w:tc>
                <w:tcPr>
                  <w:tcW w:w="1155" w:type="pct"/>
                  <w:tcBorders>
                    <w:tl2br w:val="nil"/>
                    <w:tr2bl w:val="nil"/>
                  </w:tcBorders>
                  <w:vAlign w:val="center"/>
                </w:tcPr>
                <w:p w14:paraId="15E7D54D">
                  <w:pPr>
                    <w:pStyle w:val="3"/>
                    <w:keepNext w:val="0"/>
                    <w:keepLines w:val="0"/>
                    <w:pageBreakBefore w:val="0"/>
                    <w:widowControl/>
                    <w:kinsoku/>
                    <w:wordWrap/>
                    <w:overflowPunct/>
                    <w:topLinePunct w:val="0"/>
                    <w:autoSpaceDE/>
                    <w:autoSpaceDN/>
                    <w:bidi w:val="0"/>
                    <w:adjustRightInd w:val="0"/>
                    <w:snapToGrid w:val="0"/>
                    <w:spacing w:before="0" w:after="0"/>
                    <w:ind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表示危险废物贮存、处置场</w:t>
                  </w:r>
                </w:p>
              </w:tc>
            </w:tr>
          </w:tbl>
          <w:p w14:paraId="6799A9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④排污口管理</w:t>
            </w:r>
          </w:p>
          <w:p w14:paraId="67C14A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val="en-US" w:eastAsia="zh-CN"/>
              </w:rPr>
              <w:t xml:space="preserve">、要求使用国家环境保护总局统一印刷的《中华人民共和国规范化排污口标志登记证》，并按要求填写有关内容； </w:t>
            </w:r>
          </w:p>
          <w:p w14:paraId="141F0C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B</w:t>
            </w:r>
            <w:r>
              <w:rPr>
                <w:rFonts w:hint="eastAsia" w:ascii="Times New Roman" w:hAnsi="Times New Roman" w:eastAsia="宋体" w:cs="Times New Roman"/>
                <w:color w:val="auto"/>
                <w:sz w:val="24"/>
                <w:szCs w:val="24"/>
                <w:highlight w:val="none"/>
                <w:lang w:val="en-US" w:eastAsia="zh-CN"/>
              </w:rPr>
              <w:t xml:space="preserve">、根据排污口管理档案内容要求，项目建成后应将主要污染物种类、数量、浓度、排放去向、达标情况及设施运转情况记录于档案。如实向环保管理部门申报排污口数量、位置及所排放的主要污染物种类、数量、浓度、排放去向等情况。 </w:t>
            </w:r>
          </w:p>
          <w:p w14:paraId="35EC98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w:t>
            </w:r>
            <w:r>
              <w:rPr>
                <w:rFonts w:hint="eastAsia" w:ascii="Times New Roman" w:hAnsi="Times New Roman" w:eastAsia="宋体" w:cs="Times New Roman"/>
                <w:color w:val="auto"/>
                <w:sz w:val="24"/>
                <w:szCs w:val="24"/>
                <w:highlight w:val="none"/>
                <w:lang w:val="en-US" w:eastAsia="zh-CN"/>
              </w:rPr>
              <w:t>、规范化排污口有关设施属环境保护设施，企业要将其纳入本公司设备管理，并选派责任心强、有专业知识和技能的专业人员对排污口进行管理。</w:t>
            </w:r>
          </w:p>
          <w:p w14:paraId="6F549C5B">
            <w:pPr>
              <w:pStyle w:val="11"/>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4.2.</w:t>
            </w:r>
            <w:r>
              <w:rPr>
                <w:rFonts w:hint="eastAsia" w:cs="Times New Roman"/>
                <w:color w:val="auto"/>
                <w:highlight w:val="none"/>
                <w:lang w:val="en-US" w:eastAsia="zh-CN"/>
              </w:rPr>
              <w:t>9</w:t>
            </w:r>
            <w:r>
              <w:rPr>
                <w:rFonts w:hint="default" w:ascii="Times New Roman" w:hAnsi="Times New Roman" w:cs="Times New Roman"/>
                <w:color w:val="auto"/>
                <w:highlight w:val="none"/>
              </w:rPr>
              <w:t>环保投资</w:t>
            </w:r>
          </w:p>
          <w:p w14:paraId="6B3C207B">
            <w:pPr>
              <w:spacing w:line="360" w:lineRule="auto"/>
              <w:ind w:firstLine="480" w:firstLineChars="200"/>
              <w:jc w:val="left"/>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本</w:t>
            </w:r>
            <w:r>
              <w:rPr>
                <w:rFonts w:hint="eastAsia" w:cs="Times New Roman"/>
                <w:color w:val="auto"/>
                <w:sz w:val="24"/>
                <w:szCs w:val="22"/>
                <w:highlight w:val="none"/>
                <w:lang w:val="en-US" w:eastAsia="zh-CN"/>
              </w:rPr>
              <w:t>次技术改造</w:t>
            </w:r>
            <w:r>
              <w:rPr>
                <w:rFonts w:hint="default" w:ascii="Times New Roman" w:hAnsi="Times New Roman" w:eastAsia="宋体" w:cs="Times New Roman"/>
                <w:color w:val="auto"/>
                <w:sz w:val="24"/>
                <w:szCs w:val="22"/>
                <w:highlight w:val="none"/>
              </w:rPr>
              <w:t>项目总投资</w:t>
            </w:r>
            <w:r>
              <w:rPr>
                <w:rFonts w:hint="eastAsia" w:cs="Times New Roman"/>
                <w:color w:val="auto"/>
                <w:sz w:val="24"/>
                <w:highlight w:val="none"/>
                <w:lang w:val="en-US" w:eastAsia="zh-CN"/>
              </w:rPr>
              <w:t>2000</w:t>
            </w:r>
            <w:r>
              <w:rPr>
                <w:rFonts w:hint="default" w:ascii="Times New Roman" w:hAnsi="Times New Roman" w:eastAsia="宋体" w:cs="Times New Roman"/>
                <w:color w:val="auto"/>
                <w:sz w:val="24"/>
                <w:szCs w:val="22"/>
                <w:highlight w:val="none"/>
              </w:rPr>
              <w:t>万元，环境保护投资</w:t>
            </w:r>
            <w:r>
              <w:rPr>
                <w:rFonts w:hint="eastAsia" w:cs="Times New Roman"/>
                <w:color w:val="auto"/>
                <w:sz w:val="24"/>
                <w:szCs w:val="22"/>
                <w:highlight w:val="none"/>
                <w:lang w:val="en-US" w:eastAsia="zh-CN"/>
              </w:rPr>
              <w:t>24.0</w:t>
            </w:r>
            <w:r>
              <w:rPr>
                <w:rFonts w:hint="default" w:ascii="Times New Roman" w:hAnsi="Times New Roman" w:eastAsia="宋体" w:cs="Times New Roman"/>
                <w:color w:val="auto"/>
                <w:sz w:val="24"/>
                <w:szCs w:val="22"/>
                <w:highlight w:val="none"/>
              </w:rPr>
              <w:t>万元，占项目总投资的</w:t>
            </w:r>
            <w:r>
              <w:rPr>
                <w:rFonts w:hint="eastAsia" w:cs="Times New Roman"/>
                <w:color w:val="auto"/>
                <w:sz w:val="24"/>
                <w:szCs w:val="22"/>
                <w:highlight w:val="none"/>
                <w:lang w:val="en-US" w:eastAsia="zh-CN"/>
              </w:rPr>
              <w:t>1.2</w:t>
            </w:r>
            <w:r>
              <w:rPr>
                <w:rFonts w:hint="default" w:ascii="Times New Roman" w:hAnsi="Times New Roman" w:eastAsia="宋体" w:cs="Times New Roman"/>
                <w:color w:val="auto"/>
                <w:sz w:val="24"/>
                <w:szCs w:val="22"/>
                <w:highlight w:val="none"/>
              </w:rPr>
              <w:t>%，环保投资见表。</w:t>
            </w:r>
          </w:p>
          <w:p w14:paraId="0DF18D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z w:val="21"/>
                <w:szCs w:val="21"/>
                <w:highlight w:val="none"/>
                <w:lang w:val="en-US" w:eastAsia="zh-CN"/>
              </w:rPr>
            </w:pPr>
          </w:p>
          <w:p w14:paraId="7E78A5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z w:val="21"/>
                <w:szCs w:val="21"/>
                <w:highlight w:val="none"/>
                <w:lang w:val="en-US" w:eastAsia="zh-CN"/>
              </w:rPr>
            </w:pPr>
          </w:p>
          <w:p w14:paraId="121555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表4-19环保投资一览表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228"/>
              <w:gridCol w:w="1518"/>
              <w:gridCol w:w="2386"/>
              <w:gridCol w:w="1879"/>
            </w:tblGrid>
            <w:tr w14:paraId="40B6E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noWrap w:val="0"/>
                  <w:vAlign w:val="center"/>
                </w:tcPr>
                <w:p w14:paraId="058133A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类别</w:t>
                  </w:r>
                </w:p>
              </w:tc>
              <w:tc>
                <w:tcPr>
                  <w:tcW w:w="798" w:type="pct"/>
                  <w:tcBorders>
                    <w:tl2br w:val="nil"/>
                    <w:tr2bl w:val="nil"/>
                  </w:tcBorders>
                  <w:noWrap w:val="0"/>
                  <w:vAlign w:val="center"/>
                </w:tcPr>
                <w:p w14:paraId="3D6F326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产污</w:t>
                  </w:r>
                  <w:r>
                    <w:rPr>
                      <w:rFonts w:hint="default" w:ascii="Times New Roman" w:hAnsi="Times New Roman" w:cs="Times New Roman"/>
                      <w:color w:val="auto"/>
                      <w:sz w:val="21"/>
                      <w:szCs w:val="21"/>
                      <w:highlight w:val="none"/>
                      <w:vertAlign w:val="baseline"/>
                      <w:lang w:val="en-US" w:eastAsia="zh-CN"/>
                    </w:rPr>
                    <w:t>环节</w:t>
                  </w:r>
                </w:p>
              </w:tc>
              <w:tc>
                <w:tcPr>
                  <w:tcW w:w="987" w:type="pct"/>
                  <w:tcBorders>
                    <w:tl2br w:val="nil"/>
                    <w:tr2bl w:val="nil"/>
                  </w:tcBorders>
                  <w:noWrap w:val="0"/>
                  <w:vAlign w:val="center"/>
                </w:tcPr>
                <w:p w14:paraId="78F86C2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污染物</w:t>
                  </w:r>
                </w:p>
              </w:tc>
              <w:tc>
                <w:tcPr>
                  <w:tcW w:w="1551" w:type="pct"/>
                  <w:tcBorders>
                    <w:tl2br w:val="nil"/>
                    <w:tr2bl w:val="nil"/>
                  </w:tcBorders>
                  <w:noWrap w:val="0"/>
                  <w:vAlign w:val="center"/>
                </w:tcPr>
                <w:p w14:paraId="37E66C5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治理措施</w:t>
                  </w:r>
                </w:p>
              </w:tc>
              <w:tc>
                <w:tcPr>
                  <w:tcW w:w="1221" w:type="pct"/>
                  <w:tcBorders>
                    <w:tl2br w:val="nil"/>
                    <w:tr2bl w:val="nil"/>
                  </w:tcBorders>
                  <w:noWrap w:val="0"/>
                  <w:vAlign w:val="center"/>
                </w:tcPr>
                <w:p w14:paraId="34F7CCC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环保投资</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万元</w:t>
                  </w:r>
                </w:p>
              </w:tc>
            </w:tr>
            <w:tr w14:paraId="77EEA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40" w:type="pct"/>
                  <w:tcBorders>
                    <w:tl2br w:val="nil"/>
                    <w:tr2bl w:val="nil"/>
                  </w:tcBorders>
                  <w:noWrap w:val="0"/>
                  <w:vAlign w:val="center"/>
                </w:tcPr>
                <w:p w14:paraId="739B869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废气</w:t>
                  </w:r>
                </w:p>
              </w:tc>
              <w:tc>
                <w:tcPr>
                  <w:tcW w:w="798" w:type="pct"/>
                  <w:tcBorders>
                    <w:tl2br w:val="nil"/>
                    <w:tr2bl w:val="nil"/>
                  </w:tcBorders>
                  <w:noWrap w:val="0"/>
                  <w:vAlign w:val="center"/>
                </w:tcPr>
                <w:p w14:paraId="56AEEFE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eastAsia="宋体" w:cs="Times New Roman"/>
                      <w:color w:val="auto"/>
                      <w:kern w:val="2"/>
                      <w:sz w:val="21"/>
                      <w:szCs w:val="21"/>
                      <w:highlight w:val="none"/>
                      <w:vertAlign w:val="baseline"/>
                      <w:lang w:val="en-US" w:eastAsia="zh-CN" w:bidi="ar-SA"/>
                    </w:rPr>
                    <w:t>搅拌设施投料</w:t>
                  </w:r>
                </w:p>
              </w:tc>
              <w:tc>
                <w:tcPr>
                  <w:tcW w:w="987" w:type="pct"/>
                  <w:tcBorders>
                    <w:tl2br w:val="nil"/>
                    <w:tr2bl w:val="nil"/>
                  </w:tcBorders>
                  <w:noWrap w:val="0"/>
                  <w:vAlign w:val="center"/>
                </w:tcPr>
                <w:p w14:paraId="59DEB6B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eastAsia="宋体" w:cs="Times New Roman"/>
                      <w:color w:val="auto"/>
                      <w:kern w:val="2"/>
                      <w:sz w:val="21"/>
                      <w:szCs w:val="21"/>
                      <w:highlight w:val="none"/>
                      <w:vertAlign w:val="baseline"/>
                      <w:lang w:val="en-US" w:eastAsia="zh-CN" w:bidi="ar-SA"/>
                    </w:rPr>
                    <w:t>一氧化二氮</w:t>
                  </w:r>
                </w:p>
              </w:tc>
              <w:tc>
                <w:tcPr>
                  <w:tcW w:w="1551" w:type="pct"/>
                  <w:tcBorders>
                    <w:tl2br w:val="nil"/>
                    <w:tr2bl w:val="nil"/>
                  </w:tcBorders>
                  <w:noWrap w:val="0"/>
                  <w:vAlign w:val="center"/>
                </w:tcPr>
                <w:p w14:paraId="7721CF0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气相平衡管</w:t>
                  </w:r>
                  <w:r>
                    <w:rPr>
                      <w:rFonts w:hint="eastAsia" w:ascii="Times New Roman" w:hAnsi="Times New Roman" w:eastAsia="宋体" w:cs="Times New Roman"/>
                      <w:color w:val="auto"/>
                      <w:sz w:val="21"/>
                      <w:szCs w:val="21"/>
                      <w:highlight w:val="none"/>
                      <w:vertAlign w:val="baseline"/>
                      <w:lang w:val="en-US" w:eastAsia="zh-CN"/>
                    </w:rPr>
                    <w:t>、缓冲罐等</w:t>
                  </w:r>
                </w:p>
              </w:tc>
              <w:tc>
                <w:tcPr>
                  <w:tcW w:w="1221" w:type="pct"/>
                  <w:tcBorders>
                    <w:tl2br w:val="nil"/>
                    <w:tr2bl w:val="nil"/>
                  </w:tcBorders>
                  <w:noWrap w:val="0"/>
                  <w:vAlign w:val="center"/>
                </w:tcPr>
                <w:p w14:paraId="5AF6B0D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eastAsia="宋体" w:cs="Times New Roman"/>
                      <w:color w:val="auto"/>
                      <w:kern w:val="2"/>
                      <w:sz w:val="21"/>
                      <w:szCs w:val="21"/>
                      <w:highlight w:val="none"/>
                      <w:vertAlign w:val="baseline"/>
                      <w:lang w:val="en-US" w:eastAsia="zh-CN" w:bidi="ar-SA"/>
                    </w:rPr>
                  </w:pPr>
                  <w:r>
                    <w:rPr>
                      <w:rFonts w:hint="eastAsia" w:eastAsia="宋体" w:cs="Times New Roman"/>
                      <w:color w:val="auto"/>
                      <w:kern w:val="2"/>
                      <w:sz w:val="21"/>
                      <w:szCs w:val="21"/>
                      <w:highlight w:val="none"/>
                      <w:vertAlign w:val="baseline"/>
                      <w:lang w:val="en-US" w:eastAsia="zh-CN" w:bidi="ar-SA"/>
                    </w:rPr>
                    <w:t>0</w:t>
                  </w:r>
                </w:p>
                <w:p w14:paraId="5C43D42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eastAsia="宋体" w:cs="Times New Roman"/>
                      <w:color w:val="auto"/>
                      <w:kern w:val="2"/>
                      <w:sz w:val="21"/>
                      <w:szCs w:val="21"/>
                      <w:highlight w:val="none"/>
                      <w:vertAlign w:val="baseline"/>
                      <w:lang w:val="en-US" w:eastAsia="zh-CN" w:bidi="ar-SA"/>
                    </w:rPr>
                    <w:t>（计入工程投资）</w:t>
                  </w:r>
                </w:p>
              </w:tc>
            </w:tr>
            <w:tr w14:paraId="3ACB8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noWrap w:val="0"/>
                  <w:vAlign w:val="center"/>
                </w:tcPr>
                <w:p w14:paraId="2755553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废水</w:t>
                  </w:r>
                </w:p>
              </w:tc>
              <w:tc>
                <w:tcPr>
                  <w:tcW w:w="798" w:type="pct"/>
                  <w:tcBorders>
                    <w:tl2br w:val="nil"/>
                    <w:tr2bl w:val="nil"/>
                  </w:tcBorders>
                  <w:shd w:val="clear" w:color="auto" w:fill="auto"/>
                  <w:noWrap w:val="0"/>
                  <w:vAlign w:val="center"/>
                </w:tcPr>
                <w:p w14:paraId="72F5D3A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员工生活</w:t>
                  </w:r>
                </w:p>
              </w:tc>
              <w:tc>
                <w:tcPr>
                  <w:tcW w:w="987" w:type="pct"/>
                  <w:tcBorders>
                    <w:tl2br w:val="nil"/>
                    <w:tr2bl w:val="nil"/>
                  </w:tcBorders>
                  <w:shd w:val="clear" w:color="auto" w:fill="auto"/>
                  <w:noWrap w:val="0"/>
                  <w:vAlign w:val="center"/>
                </w:tcPr>
                <w:p w14:paraId="58E0BEA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COD、NH</w:t>
                  </w:r>
                  <w:r>
                    <w:rPr>
                      <w:rFonts w:hint="eastAsia" w:eastAsia="宋体" w:cs="Times New Roman"/>
                      <w:color w:val="auto"/>
                      <w:sz w:val="21"/>
                      <w:szCs w:val="21"/>
                      <w:highlight w:val="none"/>
                      <w:vertAlign w:val="subscript"/>
                      <w:lang w:val="en-US" w:eastAsia="zh-CN"/>
                    </w:rPr>
                    <w:t>3</w:t>
                  </w:r>
                  <w:r>
                    <w:rPr>
                      <w:rFonts w:hint="eastAsia" w:eastAsia="宋体" w:cs="Times New Roman"/>
                      <w:color w:val="auto"/>
                      <w:sz w:val="21"/>
                      <w:szCs w:val="21"/>
                      <w:highlight w:val="none"/>
                      <w:vertAlign w:val="baseline"/>
                      <w:lang w:val="en-US" w:eastAsia="zh-CN"/>
                    </w:rPr>
                    <w:t>-N、TP、SS等</w:t>
                  </w:r>
                </w:p>
              </w:tc>
              <w:tc>
                <w:tcPr>
                  <w:tcW w:w="1551" w:type="pct"/>
                  <w:tcBorders>
                    <w:tl2br w:val="nil"/>
                    <w:tr2bl w:val="nil"/>
                  </w:tcBorders>
                  <w:shd w:val="clear" w:color="auto" w:fill="auto"/>
                  <w:noWrap w:val="0"/>
                  <w:vAlign w:val="center"/>
                </w:tcPr>
                <w:p w14:paraId="1FE5607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Calibri"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防渗化粪池</w:t>
                  </w:r>
                </w:p>
              </w:tc>
              <w:tc>
                <w:tcPr>
                  <w:tcW w:w="1221" w:type="pct"/>
                  <w:tcBorders>
                    <w:tl2br w:val="nil"/>
                    <w:tr2bl w:val="nil"/>
                  </w:tcBorders>
                  <w:noWrap w:val="0"/>
                  <w:vAlign w:val="center"/>
                </w:tcPr>
                <w:p w14:paraId="71E598B0">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w:t>
                  </w:r>
                </w:p>
              </w:tc>
            </w:tr>
            <w:tr w14:paraId="09351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239" w:type="pct"/>
                  <w:gridSpan w:val="2"/>
                  <w:tcBorders>
                    <w:tl2br w:val="nil"/>
                    <w:tr2bl w:val="nil"/>
                  </w:tcBorders>
                  <w:noWrap w:val="0"/>
                  <w:vAlign w:val="center"/>
                </w:tcPr>
                <w:p w14:paraId="6332E83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地下水、土壤</w:t>
                  </w:r>
                </w:p>
              </w:tc>
              <w:tc>
                <w:tcPr>
                  <w:tcW w:w="987" w:type="pct"/>
                  <w:tcBorders>
                    <w:tl2br w:val="nil"/>
                    <w:tr2bl w:val="nil"/>
                  </w:tcBorders>
                  <w:noWrap w:val="0"/>
                  <w:vAlign w:val="center"/>
                </w:tcPr>
                <w:p w14:paraId="76A40B4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w:t>
                  </w:r>
                </w:p>
              </w:tc>
              <w:tc>
                <w:tcPr>
                  <w:tcW w:w="1551" w:type="pct"/>
                  <w:tcBorders>
                    <w:tl2br w:val="nil"/>
                    <w:tr2bl w:val="nil"/>
                  </w:tcBorders>
                  <w:noWrap w:val="0"/>
                  <w:vAlign w:val="center"/>
                </w:tcPr>
                <w:p w14:paraId="266279A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分区防渗</w:t>
                  </w:r>
                </w:p>
              </w:tc>
              <w:tc>
                <w:tcPr>
                  <w:tcW w:w="1221" w:type="pct"/>
                  <w:tcBorders>
                    <w:tl2br w:val="nil"/>
                    <w:tr2bl w:val="nil"/>
                  </w:tcBorders>
                  <w:noWrap w:val="0"/>
                  <w:vAlign w:val="center"/>
                </w:tcPr>
                <w:p w14:paraId="43CDD71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w:t>
                  </w:r>
                </w:p>
              </w:tc>
            </w:tr>
            <w:tr w14:paraId="6C58D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noWrap w:val="0"/>
                  <w:vAlign w:val="center"/>
                </w:tcPr>
                <w:p w14:paraId="0E8C8988">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固体废物</w:t>
                  </w:r>
                </w:p>
              </w:tc>
              <w:tc>
                <w:tcPr>
                  <w:tcW w:w="798" w:type="pct"/>
                  <w:tcBorders>
                    <w:tl2br w:val="nil"/>
                    <w:tr2bl w:val="nil"/>
                  </w:tcBorders>
                  <w:noWrap w:val="0"/>
                  <w:vAlign w:val="center"/>
                </w:tcPr>
                <w:p w14:paraId="74CF793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设备维护</w:t>
                  </w:r>
                </w:p>
              </w:tc>
              <w:tc>
                <w:tcPr>
                  <w:tcW w:w="987" w:type="pct"/>
                  <w:tcBorders>
                    <w:tl2br w:val="nil"/>
                    <w:tr2bl w:val="nil"/>
                  </w:tcBorders>
                  <w:noWrap w:val="0"/>
                  <w:vAlign w:val="center"/>
                </w:tcPr>
                <w:p w14:paraId="6BABC59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废机油</w:t>
                  </w:r>
                </w:p>
              </w:tc>
              <w:tc>
                <w:tcPr>
                  <w:tcW w:w="1551" w:type="pct"/>
                  <w:tcBorders>
                    <w:tl2br w:val="nil"/>
                    <w:tr2bl w:val="nil"/>
                  </w:tcBorders>
                  <w:noWrap w:val="0"/>
                  <w:vAlign w:val="center"/>
                </w:tcPr>
                <w:p w14:paraId="26285D5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危险废物贮存点</w:t>
                  </w:r>
                </w:p>
              </w:tc>
              <w:tc>
                <w:tcPr>
                  <w:tcW w:w="1221" w:type="pct"/>
                  <w:tcBorders>
                    <w:tl2br w:val="nil"/>
                    <w:tr2bl w:val="nil"/>
                  </w:tcBorders>
                  <w:noWrap w:val="0"/>
                  <w:vAlign w:val="center"/>
                </w:tcPr>
                <w:p w14:paraId="2CC5477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8.0</w:t>
                  </w:r>
                </w:p>
              </w:tc>
            </w:tr>
            <w:tr w14:paraId="434907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noWrap w:val="0"/>
                  <w:vAlign w:val="center"/>
                </w:tcPr>
                <w:p w14:paraId="0D6DA08D">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噪声</w:t>
                  </w:r>
                </w:p>
              </w:tc>
              <w:tc>
                <w:tcPr>
                  <w:tcW w:w="798" w:type="pct"/>
                  <w:tcBorders>
                    <w:tl2br w:val="nil"/>
                    <w:tr2bl w:val="nil"/>
                  </w:tcBorders>
                  <w:noWrap w:val="0"/>
                  <w:vAlign w:val="center"/>
                </w:tcPr>
                <w:p w14:paraId="25B6355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生产设备、风机等</w:t>
                  </w:r>
                </w:p>
              </w:tc>
              <w:tc>
                <w:tcPr>
                  <w:tcW w:w="987" w:type="pct"/>
                  <w:tcBorders>
                    <w:tl2br w:val="nil"/>
                    <w:tr2bl w:val="nil"/>
                  </w:tcBorders>
                  <w:noWrap w:val="0"/>
                  <w:vAlign w:val="center"/>
                </w:tcPr>
                <w:p w14:paraId="51DD04F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dB（A）</w:t>
                  </w:r>
                </w:p>
              </w:tc>
              <w:tc>
                <w:tcPr>
                  <w:tcW w:w="1551" w:type="pct"/>
                  <w:tcBorders>
                    <w:tl2br w:val="nil"/>
                    <w:tr2bl w:val="nil"/>
                  </w:tcBorders>
                  <w:noWrap w:val="0"/>
                  <w:vAlign w:val="center"/>
                </w:tcPr>
                <w:p w14:paraId="6D868BA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rPr>
                  </w:pPr>
                  <w:r>
                    <w:rPr>
                      <w:rFonts w:hint="eastAsia" w:ascii="Times New Roman" w:hAnsi="Times New Roman" w:eastAsia="宋体" w:cs="Times New Roman"/>
                      <w:color w:val="auto"/>
                      <w:sz w:val="21"/>
                      <w:szCs w:val="21"/>
                      <w:highlight w:val="none"/>
                      <w:vertAlign w:val="baseline"/>
                      <w:lang w:val="en-US" w:eastAsia="zh-CN"/>
                    </w:rPr>
                    <w:t>选用低噪音设备，采用基础减震、建筑隔声、加装减振垫、消音器</w:t>
                  </w:r>
                  <w:r>
                    <w:rPr>
                      <w:rFonts w:hint="default" w:ascii="Times New Roman" w:hAnsi="Times New Roman" w:eastAsia="宋体" w:cs="Times New Roman"/>
                      <w:color w:val="auto"/>
                      <w:sz w:val="21"/>
                      <w:szCs w:val="21"/>
                      <w:highlight w:val="none"/>
                      <w:vertAlign w:val="baseline"/>
                      <w:lang w:val="en-US" w:eastAsia="zh-CN"/>
                    </w:rPr>
                    <w:t>等措施</w:t>
                  </w:r>
                </w:p>
              </w:tc>
              <w:tc>
                <w:tcPr>
                  <w:tcW w:w="1221" w:type="pct"/>
                  <w:tcBorders>
                    <w:tl2br w:val="nil"/>
                    <w:tr2bl w:val="nil"/>
                  </w:tcBorders>
                  <w:noWrap w:val="0"/>
                  <w:vAlign w:val="center"/>
                </w:tcPr>
                <w:p w14:paraId="47373A10">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6.0</w:t>
                  </w:r>
                </w:p>
              </w:tc>
            </w:tr>
            <w:tr w14:paraId="5254E2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noWrap w:val="0"/>
                  <w:vAlign w:val="center"/>
                </w:tcPr>
                <w:p w14:paraId="5C05DFE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合计</w:t>
                  </w:r>
                </w:p>
              </w:tc>
              <w:tc>
                <w:tcPr>
                  <w:tcW w:w="798" w:type="pct"/>
                  <w:tcBorders>
                    <w:tl2br w:val="nil"/>
                    <w:tr2bl w:val="nil"/>
                  </w:tcBorders>
                  <w:noWrap w:val="0"/>
                  <w:vAlign w:val="center"/>
                </w:tcPr>
                <w:p w14:paraId="1AAB19E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c>
                <w:tcPr>
                  <w:tcW w:w="987" w:type="pct"/>
                  <w:tcBorders>
                    <w:tl2br w:val="nil"/>
                    <w:tr2bl w:val="nil"/>
                  </w:tcBorders>
                  <w:noWrap w:val="0"/>
                  <w:vAlign w:val="center"/>
                </w:tcPr>
                <w:p w14:paraId="5D76621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c>
                <w:tcPr>
                  <w:tcW w:w="1551" w:type="pct"/>
                  <w:tcBorders>
                    <w:tl2br w:val="nil"/>
                    <w:tr2bl w:val="nil"/>
                  </w:tcBorders>
                  <w:noWrap w:val="0"/>
                  <w:vAlign w:val="center"/>
                </w:tcPr>
                <w:p w14:paraId="45F70AF3">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cs="Times New Roman"/>
                      <w:b w:val="0"/>
                      <w:bCs/>
                      <w:color w:val="auto"/>
                      <w:kern w:val="0"/>
                      <w:sz w:val="21"/>
                      <w:szCs w:val="21"/>
                      <w:highlight w:val="none"/>
                      <w:lang w:val="en-US" w:eastAsia="zh-CN" w:bidi="ar"/>
                    </w:rPr>
                  </w:pPr>
                  <w:r>
                    <w:rPr>
                      <w:rFonts w:hint="eastAsia" w:cs="Times New Roman"/>
                      <w:color w:val="auto"/>
                      <w:sz w:val="21"/>
                      <w:szCs w:val="21"/>
                      <w:highlight w:val="none"/>
                      <w:vertAlign w:val="baseline"/>
                      <w:lang w:val="en-US" w:eastAsia="zh-CN"/>
                    </w:rPr>
                    <w:t>/</w:t>
                  </w:r>
                </w:p>
              </w:tc>
              <w:tc>
                <w:tcPr>
                  <w:tcW w:w="1221" w:type="pct"/>
                  <w:tcBorders>
                    <w:tl2br w:val="nil"/>
                    <w:tr2bl w:val="nil"/>
                  </w:tcBorders>
                  <w:noWrap w:val="0"/>
                  <w:vAlign w:val="center"/>
                </w:tcPr>
                <w:p w14:paraId="1C9C5480">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24.0</w:t>
                  </w:r>
                </w:p>
              </w:tc>
            </w:tr>
          </w:tbl>
          <w:p w14:paraId="254E67BB">
            <w:pPr>
              <w:pStyle w:val="29"/>
              <w:widowControl w:val="0"/>
              <w:numPr>
                <w:ilvl w:val="0"/>
                <w:numId w:val="0"/>
              </w:numPr>
              <w:adjustRightInd w:val="0"/>
              <w:snapToGrid w:val="0"/>
              <w:spacing w:line="360" w:lineRule="auto"/>
              <w:ind w:left="480" w:leftChars="0"/>
              <w:jc w:val="left"/>
              <w:rPr>
                <w:rFonts w:hint="default"/>
                <w:color w:val="auto"/>
                <w:lang w:val="en-US" w:eastAsia="zh-CN"/>
              </w:rPr>
            </w:pPr>
          </w:p>
        </w:tc>
      </w:tr>
    </w:tbl>
    <w:p w14:paraId="16C26335">
      <w:pPr>
        <w:pStyle w:val="29"/>
        <w:numPr>
          <w:ilvl w:val="0"/>
          <w:numId w:val="0"/>
        </w:numPr>
        <w:ind w:leftChars="0"/>
        <w:jc w:val="both"/>
        <w:rPr>
          <w:rFonts w:hint="eastAsia" w:ascii="黑体" w:hAnsi="黑体" w:eastAsia="黑体"/>
          <w:snapToGrid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0B69068">
      <w:pPr>
        <w:pStyle w:val="22"/>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w:t>
      </w:r>
      <w:bookmarkStart w:id="6" w:name="_Hlk54167917"/>
      <w:r>
        <w:rPr>
          <w:rFonts w:hint="eastAsia" w:ascii="黑体" w:hAnsi="黑体" w:eastAsia="黑体"/>
          <w:snapToGrid w:val="0"/>
          <w:color w:val="auto"/>
          <w:sz w:val="30"/>
          <w:szCs w:val="30"/>
          <w:highlight w:val="none"/>
        </w:rPr>
        <w:t>环境保护措施监督检查清单</w:t>
      </w:r>
      <w:bookmarkEnd w:id="6"/>
    </w:p>
    <w:tbl>
      <w:tblPr>
        <w:tblStyle w:val="24"/>
        <w:tblW w:w="84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223"/>
        <w:gridCol w:w="1244"/>
        <w:gridCol w:w="2005"/>
        <w:gridCol w:w="2741"/>
      </w:tblGrid>
      <w:tr w14:paraId="0E1BF3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16" w:type="dxa"/>
            <w:tcBorders>
              <w:tl2br w:val="nil"/>
              <w:tr2bl w:val="nil"/>
            </w:tcBorders>
            <w:noWrap/>
          </w:tcPr>
          <w:p w14:paraId="78A780D0">
            <w:pPr>
              <w:jc w:val="center"/>
              <w:rPr>
                <w:rFonts w:hint="default" w:ascii="Times New Roman" w:hAnsi="Times New Roman" w:cs="Times New Roman"/>
                <w:color w:val="auto"/>
                <w:sz w:val="21"/>
                <w:szCs w:val="21"/>
                <w:highlight w:val="none"/>
              </w:rPr>
            </w:pPr>
          </w:p>
          <w:p w14:paraId="04328AB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内容</w:t>
            </w:r>
          </w:p>
          <w:p w14:paraId="2BEDB73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要素</w:t>
            </w:r>
          </w:p>
        </w:tc>
        <w:tc>
          <w:tcPr>
            <w:tcW w:w="1223" w:type="dxa"/>
            <w:tcBorders>
              <w:tl2br w:val="nil"/>
              <w:tr2bl w:val="nil"/>
            </w:tcBorders>
            <w:noWrap/>
            <w:vAlign w:val="center"/>
          </w:tcPr>
          <w:p w14:paraId="13B1086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排放口(编号、名称)/污染源</w:t>
            </w:r>
          </w:p>
        </w:tc>
        <w:tc>
          <w:tcPr>
            <w:tcW w:w="1244" w:type="dxa"/>
            <w:tcBorders>
              <w:tl2br w:val="nil"/>
              <w:tr2bl w:val="nil"/>
            </w:tcBorders>
            <w:noWrap/>
            <w:vAlign w:val="center"/>
          </w:tcPr>
          <w:p w14:paraId="66333E2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污染物项目</w:t>
            </w:r>
          </w:p>
        </w:tc>
        <w:tc>
          <w:tcPr>
            <w:tcW w:w="2005" w:type="dxa"/>
            <w:tcBorders>
              <w:tl2br w:val="nil"/>
              <w:tr2bl w:val="nil"/>
            </w:tcBorders>
            <w:noWrap/>
            <w:vAlign w:val="center"/>
          </w:tcPr>
          <w:p w14:paraId="235BFC7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环境保护措施</w:t>
            </w:r>
          </w:p>
        </w:tc>
        <w:tc>
          <w:tcPr>
            <w:tcW w:w="2741" w:type="dxa"/>
            <w:tcBorders>
              <w:tl2br w:val="nil"/>
              <w:tr2bl w:val="nil"/>
            </w:tcBorders>
            <w:noWrap/>
            <w:vAlign w:val="center"/>
          </w:tcPr>
          <w:p w14:paraId="720FCAB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执行标准</w:t>
            </w:r>
          </w:p>
        </w:tc>
      </w:tr>
      <w:tr w14:paraId="15F2B4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16" w:type="dxa"/>
            <w:tcBorders>
              <w:tl2br w:val="nil"/>
              <w:tr2bl w:val="nil"/>
            </w:tcBorders>
            <w:noWrap/>
            <w:vAlign w:val="center"/>
          </w:tcPr>
          <w:p w14:paraId="5627BD2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w:t>
            </w:r>
          </w:p>
        </w:tc>
        <w:tc>
          <w:tcPr>
            <w:tcW w:w="1223" w:type="dxa"/>
            <w:tcBorders>
              <w:tl2br w:val="nil"/>
              <w:tr2bl w:val="nil"/>
            </w:tcBorders>
            <w:noWrap/>
            <w:vAlign w:val="center"/>
          </w:tcPr>
          <w:p w14:paraId="077B1685">
            <w:pPr>
              <w:pStyle w:val="35"/>
              <w:snapToGrid/>
              <w:rPr>
                <w:rFonts w:hint="default" w:ascii="Times New Roman" w:hAnsi="Times New Roman" w:eastAsia="宋体" w:cs="Times New Roman"/>
                <w:bCs w:val="0"/>
                <w:snapToGrid/>
                <w:color w:val="auto"/>
                <w:kern w:val="2"/>
                <w:sz w:val="21"/>
                <w:szCs w:val="21"/>
                <w:highlight w:val="none"/>
                <w:lang w:val="en-US" w:eastAsia="zh-CN" w:bidi="ar-SA"/>
              </w:rPr>
            </w:pPr>
            <w:r>
              <w:rPr>
                <w:rFonts w:hint="eastAsia" w:cs="Times New Roman"/>
                <w:bCs w:val="0"/>
                <w:snapToGrid/>
                <w:color w:val="auto"/>
                <w:kern w:val="2"/>
                <w:sz w:val="21"/>
                <w:szCs w:val="21"/>
                <w:highlight w:val="none"/>
                <w:lang w:val="en-US" w:eastAsia="zh-CN" w:bidi="ar-SA"/>
              </w:rPr>
              <w:t>一氧化二氮储罐区及充装车间</w:t>
            </w:r>
          </w:p>
        </w:tc>
        <w:tc>
          <w:tcPr>
            <w:tcW w:w="1244" w:type="dxa"/>
            <w:tcBorders>
              <w:tl2br w:val="nil"/>
              <w:tr2bl w:val="nil"/>
            </w:tcBorders>
            <w:noWrap/>
            <w:vAlign w:val="center"/>
          </w:tcPr>
          <w:p w14:paraId="4A1C9EF9">
            <w:pPr>
              <w:pStyle w:val="35"/>
              <w:snapToGrid/>
              <w:rPr>
                <w:rFonts w:hint="default" w:ascii="Times New Roman" w:hAnsi="Times New Roman" w:eastAsia="宋体" w:cs="Times New Roman"/>
                <w:bCs w:val="0"/>
                <w:snapToGrid/>
                <w:color w:val="auto"/>
                <w:kern w:val="2"/>
                <w:sz w:val="21"/>
                <w:szCs w:val="21"/>
                <w:highlight w:val="none"/>
                <w:lang w:val="en-US" w:eastAsia="zh-CN" w:bidi="ar-SA"/>
              </w:rPr>
            </w:pPr>
            <w:r>
              <w:rPr>
                <w:rFonts w:hint="eastAsia" w:cs="Times New Roman"/>
                <w:bCs w:val="0"/>
                <w:snapToGrid/>
                <w:color w:val="auto"/>
                <w:kern w:val="2"/>
                <w:sz w:val="21"/>
                <w:szCs w:val="21"/>
                <w:highlight w:val="none"/>
                <w:lang w:val="en-US" w:eastAsia="zh-CN" w:bidi="ar-SA"/>
              </w:rPr>
              <w:t>一氧化二氮</w:t>
            </w:r>
          </w:p>
        </w:tc>
        <w:tc>
          <w:tcPr>
            <w:tcW w:w="2005" w:type="dxa"/>
            <w:tcBorders>
              <w:tl2br w:val="nil"/>
              <w:tr2bl w:val="nil"/>
            </w:tcBorders>
            <w:noWrap/>
            <w:vAlign w:val="center"/>
          </w:tcPr>
          <w:p w14:paraId="45C261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bCs w:val="0"/>
                <w:snapToGrid/>
                <w:color w:val="auto"/>
                <w:kern w:val="2"/>
                <w:sz w:val="21"/>
                <w:szCs w:val="21"/>
                <w:highlight w:val="none"/>
                <w:lang w:val="en-US" w:eastAsia="zh-CN" w:bidi="ar-SA"/>
              </w:rPr>
            </w:pPr>
            <w:r>
              <w:rPr>
                <w:rFonts w:hint="eastAsia" w:ascii="Times New Roman" w:hAnsi="Times New Roman" w:eastAsia="宋体" w:cs="Times New Roman"/>
                <w:bCs w:val="0"/>
                <w:snapToGrid/>
                <w:color w:val="auto"/>
                <w:kern w:val="2"/>
                <w:sz w:val="21"/>
                <w:szCs w:val="21"/>
                <w:lang w:val="en-US" w:eastAsia="zh-CN" w:bidi="ar-SA"/>
              </w:rPr>
              <w:t>1.</w:t>
            </w:r>
            <w:r>
              <w:rPr>
                <w:rFonts w:hint="eastAsia" w:ascii="Times New Roman" w:hAnsi="Times New Roman" w:eastAsia="宋体" w:cs="Times New Roman"/>
                <w:bCs w:val="0"/>
                <w:snapToGrid/>
                <w:color w:val="auto"/>
                <w:kern w:val="2"/>
                <w:sz w:val="21"/>
                <w:szCs w:val="21"/>
                <w:highlight w:val="none"/>
                <w:lang w:val="en-US" w:eastAsia="zh-CN" w:bidi="ar-SA"/>
              </w:rPr>
              <w:t>槽车与储罐之间设‌</w:t>
            </w:r>
            <w:r>
              <w:rPr>
                <w:rFonts w:hint="default" w:ascii="Times New Roman" w:hAnsi="Times New Roman" w:eastAsia="宋体" w:cs="Times New Roman"/>
                <w:bCs w:val="0"/>
                <w:snapToGrid/>
                <w:color w:val="auto"/>
                <w:kern w:val="2"/>
                <w:sz w:val="21"/>
                <w:szCs w:val="21"/>
                <w:highlight w:val="none"/>
                <w:lang w:val="en-US" w:eastAsia="zh-CN" w:bidi="ar-SA"/>
              </w:rPr>
              <w:t>气相平衡管</w:t>
            </w:r>
            <w:r>
              <w:rPr>
                <w:rFonts w:hint="eastAsia" w:ascii="Times New Roman" w:hAnsi="Times New Roman" w:eastAsia="宋体" w:cs="Times New Roman"/>
                <w:bCs w:val="0"/>
                <w:snapToGrid/>
                <w:color w:val="auto"/>
                <w:kern w:val="2"/>
                <w:sz w:val="21"/>
                <w:szCs w:val="21"/>
                <w:highlight w:val="none"/>
                <w:lang w:val="en-US" w:eastAsia="zh-CN" w:bidi="ar-SA"/>
              </w:rPr>
              <w:t>；</w:t>
            </w:r>
          </w:p>
          <w:p w14:paraId="21FF6A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bCs w:val="0"/>
                <w:snapToGrid/>
                <w:color w:val="auto"/>
                <w:kern w:val="2"/>
                <w:sz w:val="21"/>
                <w:szCs w:val="21"/>
                <w:highlight w:val="none"/>
                <w:lang w:val="en-US" w:eastAsia="zh-CN" w:bidi="ar-SA"/>
              </w:rPr>
            </w:pPr>
            <w:r>
              <w:rPr>
                <w:rFonts w:hint="default" w:ascii="Times New Roman" w:hAnsi="Times New Roman" w:eastAsia="宋体" w:cs="Times New Roman"/>
                <w:bCs w:val="0"/>
                <w:snapToGrid/>
                <w:color w:val="auto"/>
                <w:kern w:val="2"/>
                <w:sz w:val="21"/>
                <w:szCs w:val="21"/>
                <w:lang w:val="en-US" w:eastAsia="zh-CN" w:bidi="ar-SA"/>
              </w:rPr>
              <w:t>2.</w:t>
            </w:r>
            <w:r>
              <w:rPr>
                <w:rFonts w:hint="eastAsia" w:ascii="Times New Roman" w:hAnsi="Times New Roman" w:eastAsia="宋体" w:cs="Times New Roman"/>
                <w:bCs w:val="0"/>
                <w:snapToGrid/>
                <w:color w:val="auto"/>
                <w:kern w:val="2"/>
                <w:sz w:val="21"/>
                <w:szCs w:val="21"/>
                <w:highlight w:val="none"/>
                <w:lang w:val="en-US" w:eastAsia="zh-CN" w:bidi="ar-SA"/>
              </w:rPr>
              <w:t>管道末端设置‌</w:t>
            </w:r>
            <w:r>
              <w:rPr>
                <w:rFonts w:hint="default" w:ascii="Times New Roman" w:hAnsi="Times New Roman" w:eastAsia="宋体" w:cs="Times New Roman"/>
                <w:bCs w:val="0"/>
                <w:snapToGrid/>
                <w:color w:val="auto"/>
                <w:kern w:val="2"/>
                <w:sz w:val="21"/>
                <w:szCs w:val="21"/>
                <w:highlight w:val="none"/>
                <w:lang w:val="en-US" w:eastAsia="zh-CN" w:bidi="ar-SA"/>
              </w:rPr>
              <w:t>低温真空泵转输结束后残留在管道和接头中的N₂O抽回至缓冲罐</w:t>
            </w:r>
            <w:r>
              <w:rPr>
                <w:rFonts w:hint="eastAsia" w:ascii="Times New Roman" w:hAnsi="Times New Roman" w:eastAsia="宋体" w:cs="Times New Roman"/>
                <w:bCs w:val="0"/>
                <w:snapToGrid/>
                <w:color w:val="auto"/>
                <w:kern w:val="2"/>
                <w:sz w:val="21"/>
                <w:szCs w:val="21"/>
                <w:highlight w:val="none"/>
                <w:lang w:val="en-US" w:eastAsia="zh-CN" w:bidi="ar-SA"/>
              </w:rPr>
              <w:t>；</w:t>
            </w:r>
          </w:p>
          <w:p w14:paraId="3AF88C1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lang w:val="en-US" w:eastAsia="zh-CN"/>
              </w:rPr>
            </w:pPr>
            <w:r>
              <w:rPr>
                <w:rFonts w:hint="eastAsia" w:ascii="Times New Roman" w:hAnsi="Times New Roman" w:eastAsia="宋体" w:cs="Times New Roman"/>
                <w:bCs w:val="0"/>
                <w:snapToGrid/>
                <w:color w:val="auto"/>
                <w:kern w:val="2"/>
                <w:sz w:val="21"/>
                <w:szCs w:val="21"/>
                <w:highlight w:val="none"/>
                <w:lang w:val="en-US" w:eastAsia="zh-CN" w:bidi="ar-SA"/>
              </w:rPr>
              <w:t>3.充装线末端设置‌</w:t>
            </w:r>
            <w:r>
              <w:rPr>
                <w:rFonts w:hint="default" w:ascii="Times New Roman" w:hAnsi="Times New Roman" w:eastAsia="宋体" w:cs="Times New Roman"/>
                <w:bCs w:val="0"/>
                <w:snapToGrid/>
                <w:color w:val="auto"/>
                <w:kern w:val="2"/>
                <w:sz w:val="21"/>
                <w:szCs w:val="21"/>
                <w:highlight w:val="none"/>
                <w:lang w:val="en-US" w:eastAsia="zh-CN" w:bidi="ar-SA"/>
              </w:rPr>
              <w:t>低压回收管路‌，将操作后接头和管道内的残余N₂O抽回至缓冲罐</w:t>
            </w:r>
            <w:r>
              <w:rPr>
                <w:rFonts w:hint="eastAsia" w:cs="Times New Roman"/>
                <w:bCs w:val="0"/>
                <w:snapToGrid/>
                <w:color w:val="auto"/>
                <w:kern w:val="2"/>
                <w:sz w:val="21"/>
                <w:szCs w:val="21"/>
                <w:highlight w:val="none"/>
                <w:lang w:val="en-US" w:eastAsia="zh-CN" w:bidi="ar-SA"/>
              </w:rPr>
              <w:t>。</w:t>
            </w:r>
          </w:p>
        </w:tc>
        <w:tc>
          <w:tcPr>
            <w:tcW w:w="2741" w:type="dxa"/>
            <w:tcBorders>
              <w:tl2br w:val="nil"/>
              <w:tr2bl w:val="nil"/>
            </w:tcBorders>
            <w:noWrap/>
            <w:vAlign w:val="center"/>
          </w:tcPr>
          <w:p w14:paraId="7E8B71DD">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cs="Times New Roman"/>
                <w:bCs/>
                <w:snapToGrid w:val="0"/>
                <w:color w:val="auto"/>
                <w:kern w:val="0"/>
                <w:sz w:val="21"/>
                <w:szCs w:val="24"/>
                <w:highlight w:val="no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《大气污染物排放标准》（GB16297-1996）表2标准限值：</w:t>
            </w:r>
            <w:r>
              <w:rPr>
                <w:rFonts w:hint="default" w:ascii="Times New Roman" w:hAnsi="Times New Roman" w:eastAsia="宋体" w:cs="Times New Roman"/>
                <w:color w:val="auto"/>
                <w:sz w:val="21"/>
                <w:szCs w:val="21"/>
                <w:highlight w:val="none"/>
                <w:vertAlign w:val="baseline"/>
                <w:lang w:val="en-US" w:eastAsia="zh-CN"/>
              </w:rPr>
              <w:t>周界外浓度最高点</w:t>
            </w:r>
            <w:r>
              <w:rPr>
                <w:rFonts w:hint="eastAsia" w:ascii="Times New Roman" w:hAnsi="Times New Roman" w:eastAsia="宋体" w:cs="Times New Roman"/>
                <w:color w:val="auto"/>
                <w:sz w:val="21"/>
                <w:szCs w:val="21"/>
                <w:highlight w:val="none"/>
                <w:vertAlign w:val="baseline"/>
                <w:lang w:val="en-US" w:eastAsia="zh-CN"/>
              </w:rPr>
              <w:t>NOx：0.12</w:t>
            </w:r>
            <w:r>
              <w:rPr>
                <w:rFonts w:hint="default" w:ascii="Times New Roman" w:hAnsi="Times New Roman" w:eastAsia="宋体" w:cs="Times New Roman"/>
                <w:color w:val="auto"/>
                <w:sz w:val="21"/>
                <w:szCs w:val="21"/>
                <w:highlight w:val="none"/>
                <w:vertAlign w:val="baseli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w:t>
            </w:r>
          </w:p>
        </w:tc>
      </w:tr>
      <w:tr w14:paraId="3DFF1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16" w:type="dxa"/>
            <w:tcBorders>
              <w:tl2br w:val="nil"/>
              <w:tr2bl w:val="nil"/>
            </w:tcBorders>
            <w:noWrap/>
            <w:vAlign w:val="center"/>
          </w:tcPr>
          <w:p w14:paraId="452D095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w:t>
            </w:r>
          </w:p>
        </w:tc>
        <w:tc>
          <w:tcPr>
            <w:tcW w:w="1223" w:type="dxa"/>
            <w:tcBorders>
              <w:tl2br w:val="nil"/>
              <w:tr2bl w:val="nil"/>
            </w:tcBorders>
            <w:noWrap/>
            <w:vAlign w:val="center"/>
          </w:tcPr>
          <w:p w14:paraId="692D9F77">
            <w:pPr>
              <w:pStyle w:val="35"/>
              <w:snapToGrid/>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真空泵、充装系统等</w:t>
            </w:r>
          </w:p>
        </w:tc>
        <w:tc>
          <w:tcPr>
            <w:tcW w:w="1244" w:type="dxa"/>
            <w:tcBorders>
              <w:tl2br w:val="nil"/>
              <w:tr2bl w:val="nil"/>
            </w:tcBorders>
            <w:noWrap/>
            <w:vAlign w:val="center"/>
          </w:tcPr>
          <w:p w14:paraId="4318CB7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设备噪声</w:t>
            </w:r>
          </w:p>
        </w:tc>
        <w:tc>
          <w:tcPr>
            <w:tcW w:w="2005" w:type="dxa"/>
            <w:tcBorders>
              <w:tl2br w:val="nil"/>
              <w:tr2bl w:val="nil"/>
            </w:tcBorders>
            <w:noWrap/>
            <w:vAlign w:val="center"/>
          </w:tcPr>
          <w:p w14:paraId="3576A766">
            <w:pPr>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sz w:val="21"/>
                <w:szCs w:val="21"/>
                <w:highlight w:val="none"/>
                <w:vertAlign w:val="baseline"/>
                <w:lang w:val="en-US" w:eastAsia="zh-CN"/>
              </w:rPr>
              <w:t>选用低噪音设备，采用基础减震、建筑隔声、加装减振垫、消音器</w:t>
            </w:r>
            <w:r>
              <w:rPr>
                <w:rFonts w:hint="default" w:ascii="Times New Roman" w:hAnsi="Times New Roman" w:eastAsia="宋体" w:cs="Times New Roman"/>
                <w:color w:val="auto"/>
                <w:sz w:val="21"/>
                <w:szCs w:val="21"/>
                <w:highlight w:val="none"/>
                <w:vertAlign w:val="baseline"/>
                <w:lang w:val="en-US" w:eastAsia="zh-CN"/>
              </w:rPr>
              <w:t>等措施</w:t>
            </w:r>
          </w:p>
        </w:tc>
        <w:tc>
          <w:tcPr>
            <w:tcW w:w="2741" w:type="dxa"/>
            <w:tcBorders>
              <w:tl2br w:val="nil"/>
              <w:tr2bl w:val="nil"/>
            </w:tcBorders>
            <w:noWrap/>
            <w:vAlign w:val="center"/>
          </w:tcPr>
          <w:p w14:paraId="72933FAE">
            <w:pPr>
              <w:pStyle w:val="35"/>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sz w:val="21"/>
                <w:szCs w:val="21"/>
                <w:lang w:val="en-US" w:eastAsia="zh-CN"/>
              </w:rPr>
            </w:pPr>
            <w:r>
              <w:rPr>
                <w:rFonts w:hint="default" w:ascii="Times New Roman" w:hAnsi="Times New Roman" w:eastAsia="宋体" w:cs="Times New Roman"/>
                <w:bCs w:val="0"/>
                <w:snapToGrid/>
                <w:color w:val="auto"/>
                <w:kern w:val="2"/>
                <w:sz w:val="21"/>
                <w:szCs w:val="21"/>
                <w:highlight w:val="none"/>
                <w:lang w:val="en-US" w:eastAsia="zh-CN" w:bidi="ar-SA"/>
              </w:rPr>
              <w:t>《工业企业厂界环境噪声排放标准》</w:t>
            </w:r>
            <w:r>
              <w:rPr>
                <w:rFonts w:hint="eastAsia" w:ascii="Times New Roman" w:hAnsi="Times New Roman" w:eastAsia="宋体" w:cs="Times New Roman"/>
                <w:bCs w:val="0"/>
                <w:snapToGrid/>
                <w:color w:val="auto"/>
                <w:kern w:val="2"/>
                <w:sz w:val="21"/>
                <w:szCs w:val="21"/>
                <w:highlight w:val="none"/>
                <w:lang w:val="en-US" w:eastAsia="zh-CN" w:bidi="ar-SA"/>
              </w:rPr>
              <w:t>3</w:t>
            </w:r>
            <w:r>
              <w:rPr>
                <w:rFonts w:hint="default" w:ascii="Times New Roman" w:hAnsi="Times New Roman" w:eastAsia="宋体" w:cs="Times New Roman"/>
                <w:bCs w:val="0"/>
                <w:snapToGrid/>
                <w:color w:val="auto"/>
                <w:kern w:val="2"/>
                <w:sz w:val="21"/>
                <w:szCs w:val="21"/>
                <w:highlight w:val="none"/>
                <w:lang w:val="en-US" w:eastAsia="zh-CN" w:bidi="ar-SA"/>
              </w:rPr>
              <w:t>类标准</w:t>
            </w:r>
            <w:r>
              <w:rPr>
                <w:rFonts w:hint="eastAsia" w:ascii="Times New Roman" w:hAnsi="Times New Roman" w:eastAsia="宋体" w:cs="Times New Roman"/>
                <w:bCs w:val="0"/>
                <w:snapToGrid/>
                <w:color w:val="auto"/>
                <w:kern w:val="2"/>
                <w:sz w:val="21"/>
                <w:szCs w:val="21"/>
                <w:highlight w:val="none"/>
                <w:lang w:val="en-US" w:eastAsia="zh-CN" w:bidi="ar-SA"/>
              </w:rPr>
              <w:t>：昼间65dB（A）、夜间55dB（A）</w:t>
            </w:r>
          </w:p>
        </w:tc>
      </w:tr>
      <w:tr w14:paraId="4F6E3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16" w:type="dxa"/>
            <w:tcBorders>
              <w:tl2br w:val="nil"/>
              <w:tr2bl w:val="nil"/>
            </w:tcBorders>
            <w:noWrap/>
            <w:vAlign w:val="center"/>
          </w:tcPr>
          <w:p w14:paraId="55DD662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电磁辐射</w:t>
            </w:r>
          </w:p>
        </w:tc>
        <w:tc>
          <w:tcPr>
            <w:tcW w:w="7213" w:type="dxa"/>
            <w:gridSpan w:val="4"/>
            <w:tcBorders>
              <w:tl2br w:val="nil"/>
              <w:tr2bl w:val="nil"/>
            </w:tcBorders>
            <w:noWrap/>
            <w:vAlign w:val="center"/>
          </w:tcPr>
          <w:p w14:paraId="2AB1619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w:t>
            </w:r>
          </w:p>
        </w:tc>
      </w:tr>
      <w:tr w14:paraId="6A13F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6" w:type="dxa"/>
            <w:tcBorders>
              <w:tl2br w:val="nil"/>
              <w:tr2bl w:val="nil"/>
            </w:tcBorders>
            <w:noWrap/>
            <w:vAlign w:val="center"/>
          </w:tcPr>
          <w:p w14:paraId="4FB194D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固体废物</w:t>
            </w:r>
          </w:p>
        </w:tc>
        <w:tc>
          <w:tcPr>
            <w:tcW w:w="1223" w:type="dxa"/>
            <w:tcBorders>
              <w:tl2br w:val="nil"/>
              <w:tr2bl w:val="nil"/>
            </w:tcBorders>
            <w:shd w:val="clear" w:color="auto" w:fill="auto"/>
            <w:noWrap/>
            <w:vAlign w:val="center"/>
          </w:tcPr>
          <w:p w14:paraId="092D18E5">
            <w:pPr>
              <w:pStyle w:val="36"/>
              <w:spacing w:line="240" w:lineRule="auto"/>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气密性检测</w:t>
            </w:r>
          </w:p>
        </w:tc>
        <w:tc>
          <w:tcPr>
            <w:tcW w:w="1244" w:type="dxa"/>
            <w:tcBorders>
              <w:tl2br w:val="nil"/>
              <w:tr2bl w:val="nil"/>
            </w:tcBorders>
            <w:shd w:val="clear" w:color="auto" w:fill="auto"/>
            <w:noWrap/>
            <w:vAlign w:val="center"/>
          </w:tcPr>
          <w:p w14:paraId="622FA5D7">
            <w:pPr>
              <w:pStyle w:val="36"/>
              <w:spacing w:line="240" w:lineRule="auto"/>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废</w:t>
            </w:r>
            <w:r>
              <w:rPr>
                <w:rFonts w:hint="eastAsia" w:cs="Times New Roman"/>
                <w:color w:val="auto"/>
                <w:sz w:val="21"/>
                <w:szCs w:val="21"/>
                <w:highlight w:val="none"/>
                <w:lang w:val="en-US" w:eastAsia="zh-CN"/>
              </w:rPr>
              <w:t>钢瓶</w:t>
            </w:r>
          </w:p>
        </w:tc>
        <w:tc>
          <w:tcPr>
            <w:tcW w:w="2005" w:type="dxa"/>
            <w:tcBorders>
              <w:tl2br w:val="nil"/>
              <w:tr2bl w:val="nil"/>
            </w:tcBorders>
            <w:noWrap/>
            <w:vAlign w:val="center"/>
          </w:tcPr>
          <w:p w14:paraId="6307A38D">
            <w:pPr>
              <w:pStyle w:val="35"/>
              <w:snapToGrid/>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废钢瓶暂存区</w:t>
            </w:r>
          </w:p>
        </w:tc>
        <w:tc>
          <w:tcPr>
            <w:tcW w:w="2741" w:type="dxa"/>
            <w:tcBorders>
              <w:tl2br w:val="nil"/>
              <w:tr2bl w:val="nil"/>
            </w:tcBorders>
            <w:noWrap/>
            <w:vAlign w:val="center"/>
          </w:tcPr>
          <w:p w14:paraId="6718BB09">
            <w:pPr>
              <w:pStyle w:val="35"/>
              <w:snapToGrid/>
              <w:rPr>
                <w:rFonts w:hint="eastAsia" w:cs="Times New Roman"/>
                <w:color w:val="auto"/>
                <w:sz w:val="21"/>
                <w:szCs w:val="21"/>
                <w:highlight w:val="none"/>
                <w:lang w:val="en-US" w:eastAsia="zh-CN"/>
              </w:rPr>
            </w:pPr>
            <w:r>
              <w:rPr>
                <w:rFonts w:hint="default" w:cs="Times New Roman"/>
                <w:color w:val="auto"/>
                <w:sz w:val="21"/>
                <w:szCs w:val="21"/>
                <w:highlight w:val="none"/>
                <w:lang w:val="en-US" w:eastAsia="zh-CN"/>
              </w:rPr>
              <w:t>《一般工业固体废物贮存和填埋污染控制标准》(GB18599-2020)</w:t>
            </w:r>
          </w:p>
        </w:tc>
      </w:tr>
      <w:tr w14:paraId="2B37A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216" w:type="dxa"/>
            <w:tcBorders>
              <w:tl2br w:val="nil"/>
              <w:tr2bl w:val="nil"/>
            </w:tcBorders>
            <w:noWrap/>
            <w:vAlign w:val="center"/>
          </w:tcPr>
          <w:p w14:paraId="614659B4">
            <w:pPr>
              <w:jc w:val="center"/>
              <w:rPr>
                <w:rFonts w:hint="eastAsia"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危险废物</w:t>
            </w:r>
          </w:p>
        </w:tc>
        <w:tc>
          <w:tcPr>
            <w:tcW w:w="1223" w:type="dxa"/>
            <w:tcBorders>
              <w:tl2br w:val="nil"/>
              <w:tr2bl w:val="nil"/>
            </w:tcBorders>
            <w:noWrap/>
            <w:vAlign w:val="center"/>
          </w:tcPr>
          <w:p w14:paraId="2D404F8E">
            <w:pPr>
              <w:pStyle w:val="37"/>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设备维护</w:t>
            </w:r>
          </w:p>
        </w:tc>
        <w:tc>
          <w:tcPr>
            <w:tcW w:w="1244" w:type="dxa"/>
            <w:tcBorders>
              <w:tl2br w:val="nil"/>
              <w:tr2bl w:val="nil"/>
            </w:tcBorders>
            <w:noWrap/>
            <w:vAlign w:val="center"/>
          </w:tcPr>
          <w:p w14:paraId="19048832">
            <w:pPr>
              <w:pStyle w:val="37"/>
              <w:spacing w:line="240" w:lineRule="auto"/>
              <w:ind w:firstLine="0" w:firstLineChars="0"/>
              <w:jc w:val="center"/>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机油</w:t>
            </w:r>
          </w:p>
        </w:tc>
        <w:tc>
          <w:tcPr>
            <w:tcW w:w="2005" w:type="dxa"/>
            <w:tcBorders>
              <w:tl2br w:val="nil"/>
              <w:tr2bl w:val="nil"/>
            </w:tcBorders>
            <w:noWrap/>
            <w:vAlign w:val="center"/>
          </w:tcPr>
          <w:p w14:paraId="78A16F80">
            <w:pPr>
              <w:pStyle w:val="35"/>
              <w:snapToGrid/>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危险废物贮存点</w:t>
            </w:r>
          </w:p>
        </w:tc>
        <w:tc>
          <w:tcPr>
            <w:tcW w:w="2741" w:type="dxa"/>
            <w:tcBorders>
              <w:tl2br w:val="nil"/>
              <w:tr2bl w:val="nil"/>
            </w:tcBorders>
            <w:noWrap/>
            <w:vAlign w:val="center"/>
          </w:tcPr>
          <w:p w14:paraId="2C68DEA8">
            <w:pPr>
              <w:jc w:val="center"/>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1"/>
                <w:szCs w:val="21"/>
                <w:highlight w:val="none"/>
                <w:lang w:val="en-US" w:eastAsia="zh-CN"/>
              </w:rPr>
              <w:t>《危险废物贮存污染控制标准》（GB18597-2023）</w:t>
            </w:r>
          </w:p>
        </w:tc>
      </w:tr>
      <w:tr w14:paraId="251CA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16" w:type="dxa"/>
            <w:tcBorders>
              <w:tl2br w:val="nil"/>
              <w:tr2bl w:val="nil"/>
            </w:tcBorders>
            <w:noWrap/>
            <w:vAlign w:val="center"/>
          </w:tcPr>
          <w:p w14:paraId="6F399F0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土壤及地下水污染防治措施</w:t>
            </w:r>
          </w:p>
        </w:tc>
        <w:tc>
          <w:tcPr>
            <w:tcW w:w="7213" w:type="dxa"/>
            <w:gridSpan w:val="4"/>
            <w:tcBorders>
              <w:tl2br w:val="nil"/>
              <w:tr2bl w:val="nil"/>
            </w:tcBorders>
            <w:noWrap/>
            <w:vAlign w:val="center"/>
          </w:tcPr>
          <w:p w14:paraId="5B7AC373">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分区防渗</w:t>
            </w:r>
          </w:p>
        </w:tc>
      </w:tr>
      <w:tr w14:paraId="3F55DE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16" w:type="dxa"/>
            <w:tcBorders>
              <w:tl2br w:val="nil"/>
              <w:tr2bl w:val="nil"/>
            </w:tcBorders>
            <w:noWrap/>
            <w:vAlign w:val="center"/>
          </w:tcPr>
          <w:p w14:paraId="43597CD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生态保护措施</w:t>
            </w:r>
          </w:p>
        </w:tc>
        <w:tc>
          <w:tcPr>
            <w:tcW w:w="7213" w:type="dxa"/>
            <w:gridSpan w:val="4"/>
            <w:tcBorders>
              <w:tl2br w:val="nil"/>
              <w:tr2bl w:val="nil"/>
            </w:tcBorders>
            <w:noWrap/>
            <w:vAlign w:val="center"/>
          </w:tcPr>
          <w:p w14:paraId="09B01F21">
            <w:pPr>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厂区内多种植绿植，绿植应以具有较强吸附能力的植物为主</w:t>
            </w:r>
            <w:r>
              <w:rPr>
                <w:rFonts w:hint="eastAsia" w:cs="Times New Roman"/>
                <w:color w:val="auto"/>
                <w:sz w:val="21"/>
                <w:szCs w:val="21"/>
                <w:highlight w:val="none"/>
                <w:lang w:eastAsia="zh-CN"/>
              </w:rPr>
              <w:t>。</w:t>
            </w:r>
          </w:p>
        </w:tc>
      </w:tr>
      <w:tr w14:paraId="4DDC5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216" w:type="dxa"/>
            <w:tcBorders>
              <w:tl2br w:val="nil"/>
              <w:tr2bl w:val="nil"/>
            </w:tcBorders>
            <w:noWrap/>
            <w:vAlign w:val="center"/>
          </w:tcPr>
          <w:p w14:paraId="4B06529D">
            <w:pPr>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环境风险</w:t>
            </w:r>
          </w:p>
          <w:p w14:paraId="719AF2E7">
            <w:pPr>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防范措施</w:t>
            </w:r>
          </w:p>
        </w:tc>
        <w:tc>
          <w:tcPr>
            <w:tcW w:w="7213" w:type="dxa"/>
            <w:gridSpan w:val="4"/>
            <w:tcBorders>
              <w:tl2br w:val="nil"/>
              <w:tr2bl w:val="nil"/>
            </w:tcBorders>
            <w:noWrap/>
            <w:vAlign w:val="center"/>
          </w:tcPr>
          <w:p w14:paraId="4FF58FB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color w:val="auto"/>
                <w:sz w:val="21"/>
                <w:szCs w:val="21"/>
                <w:highlight w:val="none"/>
              </w:rPr>
            </w:pPr>
            <w:r>
              <w:rPr>
                <w:rFonts w:hint="eastAsia" w:ascii="宋体" w:hAnsi="宋体" w:cs="宋体"/>
                <w:color w:val="auto"/>
                <w:sz w:val="21"/>
                <w:szCs w:val="21"/>
                <w:highlight w:val="none"/>
                <w:lang w:val="en-US" w:eastAsia="zh-CN"/>
              </w:rPr>
              <w:t>本项目应加强管理要求，设备、装置、消防器材检查，巡查、火险、安全奖惩制度等；加强废矿物泄漏的紧急处理措施，遇泄露事故应迅速做出反应。</w:t>
            </w:r>
          </w:p>
        </w:tc>
      </w:tr>
      <w:tr w14:paraId="59D162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1216" w:type="dxa"/>
            <w:tcBorders>
              <w:tl2br w:val="nil"/>
              <w:tr2bl w:val="nil"/>
            </w:tcBorders>
            <w:noWrap/>
            <w:vAlign w:val="center"/>
          </w:tcPr>
          <w:p w14:paraId="536C7CBA">
            <w:pPr>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其他环境</w:t>
            </w:r>
          </w:p>
          <w:p w14:paraId="36FA94F3">
            <w:pPr>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管理要求</w:t>
            </w:r>
          </w:p>
        </w:tc>
        <w:tc>
          <w:tcPr>
            <w:tcW w:w="7213" w:type="dxa"/>
            <w:gridSpan w:val="4"/>
            <w:tcBorders>
              <w:tl2br w:val="nil"/>
              <w:tr2bl w:val="nil"/>
            </w:tcBorders>
            <w:noWrap/>
          </w:tcPr>
          <w:p w14:paraId="26E0ABF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根据《固定污染源排污许可分类管理名录》（2019年版）规定履行排污许可手续。</w:t>
            </w:r>
          </w:p>
          <w:p w14:paraId="3AB7AFF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根据《建设项目竣工环境保护验收暂行办法》的规定，建设项目竣工后，建设单位应当如实查验、监测、记载建设项目环境保护设施的建设和调试情况，编制验收监测报告。</w:t>
            </w:r>
          </w:p>
          <w:p w14:paraId="285A679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排污口严格按照《排污口规范化整治技术要求（试行）》（环监[1996]470号）、《环监保护图形标志实施细则（试行）》（环监[1996]463号）、《环监保护图形标志——排污口（源）》（GB15562.1-1995）进行规范化设置。</w:t>
            </w:r>
          </w:p>
        </w:tc>
      </w:tr>
    </w:tbl>
    <w:p w14:paraId="74470B7E">
      <w:pPr>
        <w:pStyle w:val="29"/>
        <w:numPr>
          <w:ilvl w:val="0"/>
          <w:numId w:val="0"/>
        </w:numPr>
        <w:ind w:leftChars="0"/>
        <w:jc w:val="both"/>
        <w:rPr>
          <w:rFonts w:hint="eastAsia" w:ascii="黑体" w:hAnsi="黑体" w:eastAsia="黑体"/>
          <w:snapToGrid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3A44E1D">
      <w:pPr>
        <w:pStyle w:val="22"/>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六、结论</w:t>
      </w:r>
    </w:p>
    <w:tbl>
      <w:tblPr>
        <w:tblStyle w:val="24"/>
        <w:tblW w:w="83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2"/>
      </w:tblGrid>
      <w:tr w14:paraId="24A52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312" w:type="dxa"/>
            <w:noWrap/>
          </w:tcPr>
          <w:p w14:paraId="37545DE6">
            <w:pPr>
              <w:spacing w:line="360" w:lineRule="auto"/>
              <w:ind w:firstLine="480" w:firstLineChars="200"/>
              <w:rPr>
                <w:rFonts w:ascii="宋体" w:cs="宋体"/>
                <w:color w:val="auto"/>
                <w:sz w:val="24"/>
                <w:highlight w:val="none"/>
              </w:rPr>
            </w:pPr>
            <w:r>
              <w:rPr>
                <w:rFonts w:hint="eastAsia"/>
                <w:color w:val="auto"/>
                <w:sz w:val="24"/>
                <w:szCs w:val="22"/>
                <w:highlight w:val="none"/>
              </w:rPr>
              <w:t>综上所述，该项目的建设符合国家产业政策，选址基本合理。建设单位在严格落实环境影响报告表提出的环保对策和措施，认真执行“三同时”制度的前提下，排放的污染得到合理处置，项目对周围环境影响较小。因此，从环保角度考虑，本项目的建设是可行的。</w:t>
            </w:r>
          </w:p>
        </w:tc>
      </w:tr>
    </w:tbl>
    <w:p w14:paraId="1ACABF48">
      <w:pPr>
        <w:pStyle w:val="29"/>
        <w:numPr>
          <w:ilvl w:val="0"/>
          <w:numId w:val="0"/>
        </w:numPr>
        <w:ind w:leftChars="0"/>
        <w:jc w:val="both"/>
        <w:rPr>
          <w:rFonts w:hint="eastAsia" w:ascii="黑体" w:hAnsi="黑体" w:eastAsia="黑体"/>
          <w:snapToGrid w:val="0"/>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EAE5100">
      <w:pPr>
        <w:pStyle w:val="22"/>
        <w:adjustRightInd w:val="0"/>
        <w:snapToGrid w:val="0"/>
        <w:spacing w:before="0" w:beforeAutospacing="0" w:after="0" w:afterAutospacing="0" w:line="648" w:lineRule="auto"/>
        <w:outlineLvl w:val="0"/>
        <w:rPr>
          <w:rFonts w:ascii="黑体" w:hAnsi="黑体" w:eastAsia="黑体"/>
          <w:snapToGrid w:val="0"/>
          <w:color w:val="auto"/>
          <w:sz w:val="32"/>
          <w:szCs w:val="32"/>
          <w:highlight w:val="none"/>
        </w:rPr>
      </w:pPr>
      <w:r>
        <w:rPr>
          <w:rFonts w:hint="eastAsia" w:ascii="黑体" w:hAnsi="黑体" w:eastAsia="黑体"/>
          <w:snapToGrid w:val="0"/>
          <w:color w:val="auto"/>
          <w:sz w:val="32"/>
          <w:szCs w:val="32"/>
          <w:highlight w:val="none"/>
        </w:rPr>
        <w:t>附表</w:t>
      </w:r>
    </w:p>
    <w:p w14:paraId="33E3AF25">
      <w:pPr>
        <w:pStyle w:val="22"/>
        <w:spacing w:before="0" w:beforeAutospacing="0" w:after="0" w:afterAutospacing="0" w:line="360" w:lineRule="auto"/>
        <w:jc w:val="center"/>
        <w:outlineLvl w:val="0"/>
        <w:rPr>
          <w:rFonts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2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1698"/>
        <w:gridCol w:w="1592"/>
        <w:gridCol w:w="1276"/>
        <w:gridCol w:w="1701"/>
        <w:gridCol w:w="1559"/>
        <w:gridCol w:w="1501"/>
        <w:gridCol w:w="1691"/>
        <w:gridCol w:w="1354"/>
      </w:tblGrid>
      <w:tr w14:paraId="137F9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416" w:type="dxa"/>
            <w:tcBorders>
              <w:tl2br w:val="single" w:color="auto" w:sz="4" w:space="0"/>
            </w:tcBorders>
            <w:noWrap/>
            <w:tcMar>
              <w:left w:w="28" w:type="dxa"/>
              <w:right w:w="28" w:type="dxa"/>
            </w:tcMar>
            <w:vAlign w:val="center"/>
          </w:tcPr>
          <w:p w14:paraId="2ED69866">
            <w:pPr>
              <w:pStyle w:val="44"/>
              <w:spacing w:beforeLines="0" w:afterLines="0" w:line="240" w:lineRule="auto"/>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6D84FEC5">
            <w:pPr>
              <w:pStyle w:val="44"/>
              <w:spacing w:beforeLines="0" w:afterLines="0" w:line="240" w:lineRule="auto"/>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698" w:type="dxa"/>
            <w:noWrap/>
            <w:tcMar>
              <w:left w:w="28" w:type="dxa"/>
              <w:right w:w="28" w:type="dxa"/>
            </w:tcMar>
            <w:vAlign w:val="center"/>
          </w:tcPr>
          <w:p w14:paraId="2686CE29">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592" w:type="dxa"/>
            <w:noWrap/>
            <w:tcMar>
              <w:left w:w="28" w:type="dxa"/>
              <w:right w:w="28" w:type="dxa"/>
            </w:tcMar>
            <w:vAlign w:val="center"/>
          </w:tcPr>
          <w:p w14:paraId="3920A697">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06CFC338">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276" w:type="dxa"/>
            <w:noWrap/>
            <w:tcMar>
              <w:left w:w="28" w:type="dxa"/>
              <w:right w:w="28" w:type="dxa"/>
            </w:tcMar>
            <w:vAlign w:val="center"/>
          </w:tcPr>
          <w:p w14:paraId="5297BD26">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3C40CCB4">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67DF1DAF">
            <w:pPr>
              <w:pStyle w:val="44"/>
              <w:spacing w:beforeLines="0" w:afterLines="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701" w:type="dxa"/>
            <w:noWrap/>
            <w:tcMar>
              <w:left w:w="28" w:type="dxa"/>
              <w:right w:w="28" w:type="dxa"/>
            </w:tcMar>
            <w:vAlign w:val="center"/>
          </w:tcPr>
          <w:p w14:paraId="35044DFA">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40EAFE6D">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tcMar>
              <w:left w:w="28" w:type="dxa"/>
              <w:right w:w="28" w:type="dxa"/>
            </w:tcMar>
            <w:vAlign w:val="center"/>
          </w:tcPr>
          <w:p w14:paraId="0265FC4E">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38844FD1">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501" w:type="dxa"/>
            <w:noWrap/>
            <w:tcMar>
              <w:left w:w="28" w:type="dxa"/>
              <w:right w:w="28" w:type="dxa"/>
            </w:tcMar>
            <w:vAlign w:val="center"/>
          </w:tcPr>
          <w:p w14:paraId="7FF2F835">
            <w:pPr>
              <w:pStyle w:val="44"/>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7A97B214">
            <w:pPr>
              <w:pStyle w:val="44"/>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691" w:type="dxa"/>
            <w:noWrap/>
            <w:tcMar>
              <w:left w:w="28" w:type="dxa"/>
              <w:right w:w="28" w:type="dxa"/>
            </w:tcMar>
            <w:vAlign w:val="center"/>
          </w:tcPr>
          <w:p w14:paraId="565FF58A">
            <w:pPr>
              <w:pStyle w:val="44"/>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0E4E400E">
            <w:pPr>
              <w:pStyle w:val="44"/>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354" w:type="dxa"/>
            <w:noWrap/>
            <w:tcMar>
              <w:left w:w="28" w:type="dxa"/>
              <w:right w:w="28" w:type="dxa"/>
            </w:tcMar>
            <w:vAlign w:val="center"/>
          </w:tcPr>
          <w:p w14:paraId="2A7E4EAC">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0257EE73">
            <w:pPr>
              <w:pStyle w:val="44"/>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45639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416" w:type="dxa"/>
            <w:noWrap/>
            <w:vAlign w:val="center"/>
          </w:tcPr>
          <w:p w14:paraId="304F5F3C">
            <w:pPr>
              <w:pStyle w:val="44"/>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废气</w:t>
            </w:r>
          </w:p>
        </w:tc>
        <w:tc>
          <w:tcPr>
            <w:tcW w:w="1698" w:type="dxa"/>
            <w:noWrap/>
            <w:vAlign w:val="center"/>
          </w:tcPr>
          <w:p w14:paraId="1683E003">
            <w:pPr>
              <w:pStyle w:val="44"/>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eastAsia="宋体" w:cs="Times New Roman"/>
                <w:snapToGrid w:val="0"/>
                <w:color w:val="auto"/>
                <w:kern w:val="21"/>
                <w:szCs w:val="21"/>
                <w:highlight w:val="none"/>
                <w:lang w:val="en-US" w:eastAsia="zh-CN"/>
              </w:rPr>
              <w:t>一氧化二氮</w:t>
            </w:r>
          </w:p>
        </w:tc>
        <w:tc>
          <w:tcPr>
            <w:tcW w:w="1592" w:type="dxa"/>
            <w:noWrap/>
            <w:vAlign w:val="center"/>
          </w:tcPr>
          <w:p w14:paraId="546BE2C9">
            <w:pPr>
              <w:jc w:val="center"/>
              <w:rPr>
                <w:rFonts w:hint="default" w:ascii="Times New Roman" w:hAnsi="Times New Roman" w:eastAsia="宋体" w:cs="Times New Roman"/>
                <w:color w:val="auto"/>
                <w:highlight w:val="none"/>
                <w:vertAlign w:val="baseline"/>
                <w:lang w:val="en-US" w:eastAsia="zh-CN"/>
              </w:rPr>
            </w:pPr>
            <w:r>
              <w:rPr>
                <w:rFonts w:hint="eastAsia" w:cs="Times New Roman"/>
                <w:color w:val="auto"/>
                <w:highlight w:val="none"/>
                <w:vertAlign w:val="baseline"/>
                <w:lang w:val="en-US" w:eastAsia="zh-CN"/>
              </w:rPr>
              <w:t>/</w:t>
            </w:r>
          </w:p>
        </w:tc>
        <w:tc>
          <w:tcPr>
            <w:tcW w:w="1276" w:type="dxa"/>
            <w:noWrap/>
            <w:vAlign w:val="center"/>
          </w:tcPr>
          <w:p w14:paraId="16A4419C">
            <w:pPr>
              <w:jc w:val="center"/>
              <w:rPr>
                <w:rFonts w:hint="default" w:ascii="Times New Roman" w:hAnsi="Times New Roman" w:eastAsia="宋体" w:cs="Times New Roman"/>
                <w:sz w:val="21"/>
                <w:szCs w:val="21"/>
                <w:highlight w:val="none"/>
                <w:vertAlign w:val="baseline"/>
                <w:lang w:val="en-US" w:eastAsia="zh-CN"/>
              </w:rPr>
            </w:pPr>
            <w:r>
              <w:rPr>
                <w:rFonts w:hint="eastAsia" w:cs="Times New Roman"/>
                <w:color w:val="auto"/>
                <w:highlight w:val="none"/>
                <w:vertAlign w:val="baseline"/>
                <w:lang w:val="en-US" w:eastAsia="zh-CN"/>
              </w:rPr>
              <w:t>/</w:t>
            </w:r>
          </w:p>
        </w:tc>
        <w:tc>
          <w:tcPr>
            <w:tcW w:w="1701" w:type="dxa"/>
            <w:noWrap/>
            <w:vAlign w:val="center"/>
          </w:tcPr>
          <w:p w14:paraId="49A6351A">
            <w:pPr>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c>
          <w:tcPr>
            <w:tcW w:w="1559" w:type="dxa"/>
            <w:noWrap/>
            <w:vAlign w:val="center"/>
          </w:tcPr>
          <w:p w14:paraId="76FD0FC5">
            <w:pPr>
              <w:jc w:val="center"/>
              <w:rPr>
                <w:rFonts w:hint="default" w:ascii="Times New Roman" w:hAnsi="Times New Roman" w:eastAsia="宋体" w:cs="Times New Roman"/>
                <w:sz w:val="21"/>
                <w:szCs w:val="21"/>
                <w:highlight w:val="none"/>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0.594</w:t>
            </w:r>
            <w:r>
              <w:rPr>
                <w:rFonts w:hint="eastAsia" w:ascii="Times New Roman" w:hAnsi="Times New Roman" w:eastAsia="宋体" w:cs="Times New Roman"/>
                <w:sz w:val="21"/>
                <w:szCs w:val="21"/>
                <w:highlight w:val="none"/>
                <w:vertAlign w:val="baseline"/>
                <w:lang w:val="en-US" w:eastAsia="zh-CN"/>
              </w:rPr>
              <w:t>t/a</w:t>
            </w:r>
          </w:p>
        </w:tc>
        <w:tc>
          <w:tcPr>
            <w:tcW w:w="1501" w:type="dxa"/>
            <w:noWrap/>
            <w:vAlign w:val="center"/>
          </w:tcPr>
          <w:p w14:paraId="4CFFBDB2">
            <w:pPr>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49E3B7B2">
            <w:pPr>
              <w:jc w:val="center"/>
              <w:rPr>
                <w:rFonts w:hint="default" w:ascii="Times New Roman" w:hAnsi="Times New Roman" w:eastAsia="宋体" w:cs="Times New Roman"/>
                <w:color w:val="auto"/>
                <w:highlight w:val="none"/>
                <w:vertAlign w:val="baseline"/>
                <w:lang w:val="en-US" w:eastAsia="zh-CN"/>
              </w:rPr>
            </w:pP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0.594</w:t>
            </w:r>
            <w:r>
              <w:rPr>
                <w:rFonts w:hint="eastAsia" w:ascii="Times New Roman" w:hAnsi="Times New Roman" w:eastAsia="宋体" w:cs="Times New Roman"/>
                <w:sz w:val="21"/>
                <w:szCs w:val="21"/>
                <w:highlight w:val="none"/>
                <w:vertAlign w:val="baseline"/>
                <w:lang w:val="en-US" w:eastAsia="zh-CN"/>
              </w:rPr>
              <w:t>t/a</w:t>
            </w:r>
          </w:p>
        </w:tc>
        <w:tc>
          <w:tcPr>
            <w:tcW w:w="1354" w:type="dxa"/>
            <w:noWrap/>
            <w:vAlign w:val="center"/>
          </w:tcPr>
          <w:p w14:paraId="5395CBE1">
            <w:pPr>
              <w:jc w:val="center"/>
              <w:rPr>
                <w:rFonts w:hint="default" w:ascii="Times New Roman" w:hAnsi="Times New Roman" w:eastAsia="宋体" w:cs="Times New Roman"/>
                <w:color w:val="auto"/>
                <w:highlight w:val="none"/>
                <w:vertAlign w:val="baseline"/>
                <w:lang w:val="en-US" w:eastAsia="zh-CN"/>
              </w:rPr>
            </w:pPr>
            <w:r>
              <w:rPr>
                <w:rStyle w:val="27"/>
                <w:rFonts w:hint="eastAsia" w:cs="Times New Roman"/>
                <w:b w:val="0"/>
                <w:bCs w:val="0"/>
                <w:i w:val="0"/>
                <w:iCs w:val="0"/>
                <w:caps w:val="0"/>
                <w:color w:val="333333"/>
                <w:spacing w:val="0"/>
                <w:sz w:val="21"/>
                <w:szCs w:val="21"/>
                <w:shd w:val="clear" w:fill="FFFFFF"/>
                <w:vertAlign w:val="baseline"/>
                <w:lang w:val="en-US" w:eastAsia="zh-CN"/>
              </w:rPr>
              <w:t>+</w:t>
            </w:r>
            <w:r>
              <w:rPr>
                <w:rStyle w:val="27"/>
                <w:rFonts w:hint="eastAsia" w:ascii="Times New Roman" w:hAnsi="Times New Roman" w:eastAsia="宋体" w:cs="Times New Roman"/>
                <w:b w:val="0"/>
                <w:bCs w:val="0"/>
                <w:i w:val="0"/>
                <w:iCs w:val="0"/>
                <w:caps w:val="0"/>
                <w:color w:val="333333"/>
                <w:spacing w:val="0"/>
                <w:sz w:val="21"/>
                <w:szCs w:val="21"/>
                <w:shd w:val="clear" w:fill="FFFFFF"/>
                <w:vertAlign w:val="baseline"/>
                <w:lang w:val="en-US" w:eastAsia="zh-CN"/>
              </w:rPr>
              <w:t>0.594</w:t>
            </w:r>
            <w:r>
              <w:rPr>
                <w:rFonts w:hint="eastAsia" w:ascii="Times New Roman" w:hAnsi="Times New Roman" w:eastAsia="宋体" w:cs="Times New Roman"/>
                <w:sz w:val="21"/>
                <w:szCs w:val="21"/>
                <w:highlight w:val="none"/>
                <w:vertAlign w:val="baseline"/>
                <w:lang w:val="en-US" w:eastAsia="zh-CN"/>
              </w:rPr>
              <w:t>t/a</w:t>
            </w:r>
          </w:p>
        </w:tc>
      </w:tr>
      <w:tr w14:paraId="39FDC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vMerge w:val="restart"/>
            <w:noWrap/>
            <w:vAlign w:val="center"/>
          </w:tcPr>
          <w:p w14:paraId="7CBE9F64">
            <w:pPr>
              <w:pStyle w:val="44"/>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1698" w:type="dxa"/>
            <w:noWrap/>
            <w:vAlign w:val="center"/>
          </w:tcPr>
          <w:p w14:paraId="351D3D7B">
            <w:pPr>
              <w:pStyle w:val="44"/>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lang w:val="en-US" w:eastAsia="zh-CN"/>
              </w:rPr>
              <w:t>COD</w:t>
            </w:r>
          </w:p>
        </w:tc>
        <w:tc>
          <w:tcPr>
            <w:tcW w:w="1592" w:type="dxa"/>
            <w:noWrap/>
            <w:vAlign w:val="center"/>
          </w:tcPr>
          <w:p w14:paraId="55B411E9">
            <w:pPr>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highlight w:val="none"/>
                <w:vertAlign w:val="baseline"/>
                <w:lang w:val="en-US" w:eastAsia="zh-CN"/>
              </w:rPr>
              <w:t>/</w:t>
            </w:r>
          </w:p>
        </w:tc>
        <w:tc>
          <w:tcPr>
            <w:tcW w:w="1276" w:type="dxa"/>
            <w:noWrap/>
            <w:vAlign w:val="center"/>
          </w:tcPr>
          <w:p w14:paraId="44397849">
            <w:pPr>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highlight w:val="none"/>
                <w:vertAlign w:val="baseline"/>
                <w:lang w:val="en-US" w:eastAsia="zh-CN"/>
              </w:rPr>
              <w:t>/</w:t>
            </w:r>
          </w:p>
        </w:tc>
        <w:tc>
          <w:tcPr>
            <w:tcW w:w="1701" w:type="dxa"/>
            <w:noWrap/>
            <w:vAlign w:val="center"/>
          </w:tcPr>
          <w:p w14:paraId="14943212">
            <w:pPr>
              <w:jc w:val="center"/>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w:t>
            </w:r>
          </w:p>
        </w:tc>
        <w:tc>
          <w:tcPr>
            <w:tcW w:w="1559" w:type="dxa"/>
            <w:noWrap/>
            <w:vAlign w:val="center"/>
          </w:tcPr>
          <w:p w14:paraId="73FFB6A6">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sz w:val="21"/>
                <w:szCs w:val="21"/>
                <w:highlight w:val="none"/>
                <w:vertAlign w:val="baseline"/>
                <w:lang w:val="en-US" w:eastAsia="zh-CN"/>
              </w:rPr>
              <w:t>0.081t/a</w:t>
            </w:r>
          </w:p>
        </w:tc>
        <w:tc>
          <w:tcPr>
            <w:tcW w:w="1501" w:type="dxa"/>
            <w:noWrap/>
            <w:vAlign w:val="center"/>
          </w:tcPr>
          <w:p w14:paraId="3135E220">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41C5F9C8">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sz w:val="21"/>
                <w:szCs w:val="21"/>
                <w:highlight w:val="none"/>
                <w:vertAlign w:val="baseline"/>
                <w:lang w:val="en-US" w:eastAsia="zh-CN"/>
              </w:rPr>
              <w:t>0.081t/a</w:t>
            </w:r>
          </w:p>
        </w:tc>
        <w:tc>
          <w:tcPr>
            <w:tcW w:w="1354" w:type="dxa"/>
            <w:noWrap/>
            <w:vAlign w:val="center"/>
          </w:tcPr>
          <w:p w14:paraId="3B0A15D6">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sz w:val="21"/>
                <w:szCs w:val="21"/>
                <w:highlight w:val="none"/>
                <w:vertAlign w:val="baseline"/>
                <w:lang w:val="en-US" w:eastAsia="zh-CN"/>
              </w:rPr>
              <w:t>+0.081t/a</w:t>
            </w:r>
          </w:p>
        </w:tc>
      </w:tr>
      <w:tr w14:paraId="71362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vMerge w:val="continue"/>
            <w:noWrap/>
            <w:vAlign w:val="center"/>
          </w:tcPr>
          <w:p w14:paraId="15868DA9">
            <w:pPr>
              <w:pStyle w:val="44"/>
              <w:spacing w:beforeLines="0" w:afterLines="0" w:line="240" w:lineRule="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698" w:type="dxa"/>
            <w:noWrap/>
            <w:vAlign w:val="center"/>
          </w:tcPr>
          <w:p w14:paraId="00A632D9">
            <w:pPr>
              <w:pStyle w:val="44"/>
              <w:spacing w:beforeLines="0" w:afterLines="0" w:line="240" w:lineRule="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TP</w:t>
            </w:r>
          </w:p>
        </w:tc>
        <w:tc>
          <w:tcPr>
            <w:tcW w:w="1592" w:type="dxa"/>
            <w:noWrap/>
            <w:vAlign w:val="center"/>
          </w:tcPr>
          <w:p w14:paraId="03F3C449">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highlight w:val="none"/>
                <w:vertAlign w:val="baseline"/>
                <w:lang w:val="en-US" w:eastAsia="zh-CN"/>
              </w:rPr>
              <w:t>/</w:t>
            </w:r>
          </w:p>
        </w:tc>
        <w:tc>
          <w:tcPr>
            <w:tcW w:w="1276" w:type="dxa"/>
            <w:noWrap/>
            <w:vAlign w:val="center"/>
          </w:tcPr>
          <w:p w14:paraId="0AC2D925">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highlight w:val="none"/>
                <w:vertAlign w:val="baseline"/>
                <w:lang w:val="en-US" w:eastAsia="zh-CN"/>
              </w:rPr>
              <w:t>/</w:t>
            </w:r>
          </w:p>
        </w:tc>
        <w:tc>
          <w:tcPr>
            <w:tcW w:w="1701" w:type="dxa"/>
            <w:noWrap/>
            <w:vAlign w:val="center"/>
          </w:tcPr>
          <w:p w14:paraId="3B604AAB">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w:t>
            </w:r>
          </w:p>
        </w:tc>
        <w:tc>
          <w:tcPr>
            <w:tcW w:w="1559" w:type="dxa"/>
            <w:noWrap/>
            <w:vAlign w:val="center"/>
          </w:tcPr>
          <w:p w14:paraId="00252D0F">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0.00125t/a</w:t>
            </w:r>
          </w:p>
        </w:tc>
        <w:tc>
          <w:tcPr>
            <w:tcW w:w="1501" w:type="dxa"/>
            <w:noWrap/>
            <w:vAlign w:val="center"/>
          </w:tcPr>
          <w:p w14:paraId="4D494CCD">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7D37D534">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0.00125t/a</w:t>
            </w:r>
          </w:p>
        </w:tc>
        <w:tc>
          <w:tcPr>
            <w:tcW w:w="1354" w:type="dxa"/>
            <w:noWrap/>
            <w:vAlign w:val="center"/>
          </w:tcPr>
          <w:p w14:paraId="0367236E">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+0.00125t/a</w:t>
            </w:r>
          </w:p>
        </w:tc>
      </w:tr>
      <w:tr w14:paraId="672B5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vMerge w:val="restart"/>
            <w:noWrap/>
            <w:vAlign w:val="center"/>
          </w:tcPr>
          <w:p w14:paraId="004DA315">
            <w:pPr>
              <w:pStyle w:val="44"/>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一般工业</w:t>
            </w:r>
          </w:p>
          <w:p w14:paraId="6D2A19D6">
            <w:pPr>
              <w:pStyle w:val="44"/>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1698" w:type="dxa"/>
            <w:noWrap/>
            <w:vAlign w:val="center"/>
          </w:tcPr>
          <w:p w14:paraId="2A0B2239">
            <w:pPr>
              <w:pStyle w:val="36"/>
              <w:spacing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bidi="ar-SA"/>
              </w:rPr>
              <w:t>废钢瓶</w:t>
            </w:r>
          </w:p>
        </w:tc>
        <w:tc>
          <w:tcPr>
            <w:tcW w:w="1592" w:type="dxa"/>
            <w:noWrap/>
            <w:vAlign w:val="center"/>
          </w:tcPr>
          <w:p w14:paraId="1E5BAFE7">
            <w:pPr>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vertAlign w:val="baseline"/>
                <w:lang w:val="en-US" w:eastAsia="zh-CN"/>
              </w:rPr>
              <w:t>/</w:t>
            </w:r>
          </w:p>
        </w:tc>
        <w:tc>
          <w:tcPr>
            <w:tcW w:w="1276" w:type="dxa"/>
            <w:noWrap/>
            <w:vAlign w:val="center"/>
          </w:tcPr>
          <w:p w14:paraId="4285D7B6">
            <w:pPr>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vertAlign w:val="baseline"/>
                <w:lang w:val="en-US" w:eastAsia="zh-CN"/>
              </w:rPr>
              <w:t>/</w:t>
            </w:r>
          </w:p>
        </w:tc>
        <w:tc>
          <w:tcPr>
            <w:tcW w:w="1701" w:type="dxa"/>
            <w:noWrap/>
            <w:vAlign w:val="center"/>
          </w:tcPr>
          <w:p w14:paraId="23E13660">
            <w:pPr>
              <w:spacing w:beforeLines="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1559" w:type="dxa"/>
            <w:noWrap/>
            <w:vAlign w:val="center"/>
          </w:tcPr>
          <w:p w14:paraId="19824476">
            <w:pPr>
              <w:pStyle w:val="36"/>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0.2</w:t>
            </w:r>
            <w:r>
              <w:rPr>
                <w:rFonts w:hint="eastAsia"/>
                <w:color w:val="auto"/>
                <w:sz w:val="21"/>
                <w:szCs w:val="21"/>
                <w:highlight w:val="none"/>
                <w:vertAlign w:val="baseline"/>
                <w:lang w:val="en-US" w:eastAsia="zh-CN"/>
              </w:rPr>
              <w:t>t/a</w:t>
            </w:r>
          </w:p>
        </w:tc>
        <w:tc>
          <w:tcPr>
            <w:tcW w:w="1501" w:type="dxa"/>
            <w:noWrap/>
            <w:vAlign w:val="center"/>
          </w:tcPr>
          <w:p w14:paraId="4614202B">
            <w:pPr>
              <w:spacing w:beforeLines="0" w:afterLines="0"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718F3A46">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0"/>
                <w:sz w:val="21"/>
                <w:szCs w:val="21"/>
                <w:highlight w:val="none"/>
                <w:lang w:val="en-US" w:eastAsia="zh-CN" w:bidi="ar-SA"/>
              </w:rPr>
              <w:t>0.2</w:t>
            </w:r>
            <w:r>
              <w:rPr>
                <w:rFonts w:hint="eastAsia"/>
                <w:color w:val="auto"/>
                <w:sz w:val="21"/>
                <w:szCs w:val="21"/>
                <w:highlight w:val="none"/>
                <w:vertAlign w:val="baseline"/>
                <w:lang w:val="en-US" w:eastAsia="zh-CN"/>
              </w:rPr>
              <w:t>t/a</w:t>
            </w:r>
          </w:p>
        </w:tc>
        <w:tc>
          <w:tcPr>
            <w:tcW w:w="1354" w:type="dxa"/>
            <w:noWrap/>
            <w:vAlign w:val="center"/>
          </w:tcPr>
          <w:p w14:paraId="1D0C81D4">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sz w:val="21"/>
                <w:szCs w:val="21"/>
                <w:highlight w:val="none"/>
                <w:vertAlign w:val="baseline"/>
                <w:lang w:val="en-US" w:eastAsia="zh-CN"/>
              </w:rPr>
              <w:t>+</w:t>
            </w:r>
            <w:r>
              <w:rPr>
                <w:rFonts w:hint="eastAsia" w:cs="Times New Roman"/>
                <w:color w:val="auto"/>
                <w:kern w:val="0"/>
                <w:sz w:val="21"/>
                <w:szCs w:val="21"/>
                <w:highlight w:val="none"/>
                <w:lang w:val="en-US" w:eastAsia="zh-CN" w:bidi="ar-SA"/>
              </w:rPr>
              <w:t>0.2</w:t>
            </w:r>
            <w:r>
              <w:rPr>
                <w:rFonts w:hint="eastAsia"/>
                <w:color w:val="auto"/>
                <w:sz w:val="21"/>
                <w:szCs w:val="21"/>
                <w:highlight w:val="none"/>
                <w:vertAlign w:val="baseline"/>
                <w:lang w:val="en-US" w:eastAsia="zh-CN"/>
              </w:rPr>
              <w:t>t/a</w:t>
            </w:r>
          </w:p>
        </w:tc>
      </w:tr>
      <w:tr w14:paraId="42D5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vMerge w:val="continue"/>
            <w:noWrap/>
            <w:vAlign w:val="center"/>
          </w:tcPr>
          <w:p w14:paraId="552A92A7">
            <w:pPr>
              <w:pStyle w:val="44"/>
              <w:spacing w:beforeLines="0" w:afterLines="0" w:line="240" w:lineRule="auto"/>
              <w:rPr>
                <w:rFonts w:hint="default" w:ascii="Times New Roman" w:hAnsi="Times New Roman" w:cs="Times New Roman"/>
                <w:snapToGrid w:val="0"/>
                <w:color w:val="auto"/>
                <w:kern w:val="21"/>
                <w:szCs w:val="21"/>
                <w:highlight w:val="none"/>
              </w:rPr>
            </w:pPr>
          </w:p>
        </w:tc>
        <w:tc>
          <w:tcPr>
            <w:tcW w:w="1698" w:type="dxa"/>
            <w:noWrap/>
            <w:vAlign w:val="center"/>
          </w:tcPr>
          <w:p w14:paraId="26A6F997">
            <w:pPr>
              <w:pStyle w:val="36"/>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592" w:type="dxa"/>
            <w:noWrap/>
            <w:vAlign w:val="center"/>
          </w:tcPr>
          <w:p w14:paraId="53EFB546">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s="Times New Roman"/>
                <w:color w:val="auto"/>
                <w:highlight w:val="none"/>
                <w:vertAlign w:val="baseline"/>
                <w:lang w:val="en-US" w:eastAsia="zh-CN"/>
              </w:rPr>
              <w:t>/</w:t>
            </w:r>
          </w:p>
        </w:tc>
        <w:tc>
          <w:tcPr>
            <w:tcW w:w="1276" w:type="dxa"/>
            <w:noWrap/>
            <w:vAlign w:val="center"/>
          </w:tcPr>
          <w:p w14:paraId="5F922BF4">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s="Times New Roman"/>
                <w:color w:val="auto"/>
                <w:highlight w:val="none"/>
                <w:vertAlign w:val="baseline"/>
                <w:lang w:val="en-US" w:eastAsia="zh-CN"/>
              </w:rPr>
              <w:t>/</w:t>
            </w:r>
          </w:p>
        </w:tc>
        <w:tc>
          <w:tcPr>
            <w:tcW w:w="1701" w:type="dxa"/>
            <w:noWrap/>
            <w:vAlign w:val="center"/>
          </w:tcPr>
          <w:p w14:paraId="4280502F">
            <w:pPr>
              <w:jc w:val="center"/>
              <w:rPr>
                <w:rFonts w:hint="default" w:ascii="Times New Roman" w:hAnsi="Times New Roman" w:eastAsia="宋体" w:cs="Times New Roman"/>
                <w:color w:val="auto"/>
                <w:kern w:val="2"/>
                <w:sz w:val="21"/>
                <w:szCs w:val="24"/>
                <w:vertAlign w:val="baseline"/>
                <w:lang w:val="en-US" w:eastAsia="zh-CN" w:bidi="ar-SA"/>
              </w:rPr>
            </w:pPr>
          </w:p>
        </w:tc>
        <w:tc>
          <w:tcPr>
            <w:tcW w:w="1559" w:type="dxa"/>
            <w:noWrap/>
            <w:vAlign w:val="center"/>
          </w:tcPr>
          <w:p w14:paraId="21391A45">
            <w:pPr>
              <w:pStyle w:val="36"/>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8.25</w:t>
            </w:r>
            <w:r>
              <w:rPr>
                <w:rFonts w:hint="default" w:ascii="Times New Roman" w:hAnsi="Times New Roman" w:eastAsia="宋体" w:cs="Times New Roman"/>
                <w:color w:val="auto"/>
                <w:kern w:val="0"/>
                <w:sz w:val="21"/>
                <w:szCs w:val="21"/>
                <w:highlight w:val="none"/>
                <w:lang w:val="en-US" w:eastAsia="zh-CN" w:bidi="ar-SA"/>
              </w:rPr>
              <w:t>t/a</w:t>
            </w:r>
          </w:p>
        </w:tc>
        <w:tc>
          <w:tcPr>
            <w:tcW w:w="1501" w:type="dxa"/>
            <w:noWrap/>
            <w:vAlign w:val="center"/>
          </w:tcPr>
          <w:p w14:paraId="1CE31AAA">
            <w:pPr>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44C795CE">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8.25</w:t>
            </w:r>
            <w:r>
              <w:rPr>
                <w:rFonts w:hint="default" w:ascii="Times New Roman" w:hAnsi="Times New Roman" w:eastAsia="宋体" w:cs="Times New Roman"/>
                <w:color w:val="auto"/>
                <w:kern w:val="0"/>
                <w:sz w:val="21"/>
                <w:szCs w:val="21"/>
                <w:highlight w:val="none"/>
                <w:lang w:val="en-US" w:eastAsia="zh-CN" w:bidi="ar-SA"/>
              </w:rPr>
              <w:t>t/a</w:t>
            </w:r>
          </w:p>
        </w:tc>
        <w:tc>
          <w:tcPr>
            <w:tcW w:w="1354" w:type="dxa"/>
            <w:noWrap/>
            <w:vAlign w:val="center"/>
          </w:tcPr>
          <w:p w14:paraId="0CFB976C">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sz w:val="21"/>
                <w:szCs w:val="21"/>
                <w:highlight w:val="none"/>
                <w:vertAlign w:val="baseline"/>
                <w:lang w:val="en-US" w:eastAsia="zh-CN"/>
              </w:rPr>
              <w:t>+</w:t>
            </w:r>
            <w:r>
              <w:rPr>
                <w:rFonts w:hint="eastAsia" w:ascii="Times New Roman" w:hAnsi="Times New Roman" w:eastAsia="宋体" w:cs="Times New Roman"/>
                <w:color w:val="auto"/>
                <w:kern w:val="0"/>
                <w:sz w:val="21"/>
                <w:szCs w:val="21"/>
                <w:highlight w:val="none"/>
                <w:lang w:val="en-US" w:eastAsia="zh-CN" w:bidi="ar-SA"/>
              </w:rPr>
              <w:t>8.25</w:t>
            </w:r>
            <w:r>
              <w:rPr>
                <w:rFonts w:hint="default" w:ascii="Times New Roman" w:hAnsi="Times New Roman" w:eastAsia="宋体" w:cs="Times New Roman"/>
                <w:color w:val="auto"/>
                <w:kern w:val="0"/>
                <w:sz w:val="21"/>
                <w:szCs w:val="21"/>
                <w:highlight w:val="none"/>
                <w:lang w:val="en-US" w:eastAsia="zh-CN" w:bidi="ar-SA"/>
              </w:rPr>
              <w:t>t/a</w:t>
            </w:r>
          </w:p>
        </w:tc>
      </w:tr>
      <w:tr w14:paraId="49ADC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6" w:type="dxa"/>
            <w:noWrap/>
            <w:vAlign w:val="center"/>
          </w:tcPr>
          <w:p w14:paraId="148378D3">
            <w:pPr>
              <w:pStyle w:val="44"/>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危险废物</w:t>
            </w:r>
          </w:p>
        </w:tc>
        <w:tc>
          <w:tcPr>
            <w:tcW w:w="1698" w:type="dxa"/>
            <w:noWrap/>
            <w:vAlign w:val="center"/>
          </w:tcPr>
          <w:p w14:paraId="2231FD3F">
            <w:pPr>
              <w:pStyle w:val="37"/>
              <w:spacing w:line="240" w:lineRule="auto"/>
              <w:ind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hAnsi="Times New Roman" w:cs="Times New Roman"/>
                <w:snapToGrid w:val="0"/>
                <w:color w:val="auto"/>
                <w:kern w:val="21"/>
                <w:sz w:val="21"/>
                <w:szCs w:val="21"/>
                <w:highlight w:val="none"/>
                <w:lang w:val="en-US" w:eastAsia="zh-CN" w:bidi="ar-SA"/>
              </w:rPr>
              <w:t>废机油</w:t>
            </w:r>
          </w:p>
        </w:tc>
        <w:tc>
          <w:tcPr>
            <w:tcW w:w="1592" w:type="dxa"/>
            <w:noWrap/>
            <w:vAlign w:val="center"/>
          </w:tcPr>
          <w:p w14:paraId="56C59088">
            <w:pPr>
              <w:spacing w:line="240" w:lineRule="auto"/>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highlight w:val="none"/>
                <w:vertAlign w:val="baseline"/>
                <w:lang w:val="en-US" w:eastAsia="zh-CN"/>
              </w:rPr>
              <w:t>/</w:t>
            </w:r>
          </w:p>
        </w:tc>
        <w:tc>
          <w:tcPr>
            <w:tcW w:w="1276" w:type="dxa"/>
            <w:noWrap/>
            <w:vAlign w:val="center"/>
          </w:tcPr>
          <w:p w14:paraId="18550620">
            <w:pPr>
              <w:spacing w:line="240" w:lineRule="auto"/>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highlight w:val="none"/>
                <w:vertAlign w:val="baseline"/>
                <w:lang w:val="en-US" w:eastAsia="zh-CN"/>
              </w:rPr>
              <w:t>/</w:t>
            </w:r>
          </w:p>
        </w:tc>
        <w:tc>
          <w:tcPr>
            <w:tcW w:w="1701" w:type="dxa"/>
            <w:noWrap/>
            <w:vAlign w:val="center"/>
          </w:tcPr>
          <w:p w14:paraId="64BB8B66">
            <w:pPr>
              <w:spacing w:beforeLines="0" w:afterLines="0" w:line="240" w:lineRule="auto"/>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kern w:val="2"/>
                <w:sz w:val="21"/>
                <w:szCs w:val="24"/>
                <w:vertAlign w:val="baseline"/>
                <w:lang w:val="en-US" w:eastAsia="zh-CN" w:bidi="ar-SA"/>
              </w:rPr>
              <w:t>/</w:t>
            </w:r>
          </w:p>
        </w:tc>
        <w:tc>
          <w:tcPr>
            <w:tcW w:w="1559" w:type="dxa"/>
            <w:noWrap/>
            <w:vAlign w:val="center"/>
          </w:tcPr>
          <w:p w14:paraId="1B6541F3">
            <w:pPr>
              <w:pStyle w:val="36"/>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0.1t/a</w:t>
            </w:r>
          </w:p>
        </w:tc>
        <w:tc>
          <w:tcPr>
            <w:tcW w:w="1501" w:type="dxa"/>
            <w:noWrap/>
            <w:vAlign w:val="center"/>
          </w:tcPr>
          <w:p w14:paraId="44435A0D">
            <w:pPr>
              <w:spacing w:beforeLines="0" w:afterLines="0" w:line="240" w:lineRule="auto"/>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w:t>
            </w:r>
          </w:p>
        </w:tc>
        <w:tc>
          <w:tcPr>
            <w:tcW w:w="1691" w:type="dxa"/>
            <w:noWrap/>
            <w:vAlign w:val="center"/>
          </w:tcPr>
          <w:p w14:paraId="25E63ADB">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0"/>
                <w:sz w:val="21"/>
                <w:szCs w:val="21"/>
                <w:highlight w:val="none"/>
                <w:lang w:val="en-US" w:eastAsia="zh-CN" w:bidi="ar-SA"/>
              </w:rPr>
              <w:t>0.1t/a</w:t>
            </w:r>
          </w:p>
        </w:tc>
        <w:tc>
          <w:tcPr>
            <w:tcW w:w="1354" w:type="dxa"/>
            <w:noWrap/>
            <w:vAlign w:val="center"/>
          </w:tcPr>
          <w:p w14:paraId="3A57E454">
            <w:pPr>
              <w:pStyle w:val="36"/>
              <w:spacing w:line="240" w:lineRule="auto"/>
              <w:ind w:left="0" w:leftChars="0" w:right="0" w:righ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sz w:val="21"/>
                <w:szCs w:val="21"/>
                <w:highlight w:val="none"/>
                <w:vertAlign w:val="baseline"/>
                <w:lang w:val="en-US" w:eastAsia="zh-CN"/>
              </w:rPr>
              <w:t>+</w:t>
            </w:r>
            <w:r>
              <w:rPr>
                <w:rFonts w:hint="eastAsia" w:ascii="Times New Roman" w:hAnsi="Times New Roman" w:eastAsia="宋体" w:cs="Times New Roman"/>
                <w:color w:val="auto"/>
                <w:kern w:val="0"/>
                <w:sz w:val="21"/>
                <w:szCs w:val="21"/>
                <w:highlight w:val="none"/>
                <w:lang w:val="en-US" w:eastAsia="zh-CN" w:bidi="ar-SA"/>
              </w:rPr>
              <w:t>0.1t/a</w:t>
            </w:r>
          </w:p>
        </w:tc>
      </w:tr>
    </w:tbl>
    <w:p w14:paraId="6EDA7499">
      <w:pPr>
        <w:pStyle w:val="44"/>
        <w:spacing w:beforeLines="80" w:after="31"/>
        <w:jc w:val="left"/>
        <w:rPr>
          <w:rFonts w:hAnsi="宋体"/>
          <w:snapToGrid w:val="0"/>
          <w:color w:val="auto"/>
          <w:spacing w:val="-6"/>
          <w:kern w:val="21"/>
          <w:szCs w:val="21"/>
          <w:highlight w:val="none"/>
        </w:r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p w14:paraId="2C890D9A">
      <w:pPr>
        <w:pStyle w:val="2"/>
        <w:rPr>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059D71F">
      <w:pPr>
        <w:pStyle w:val="8"/>
        <w:bidi w:val="0"/>
        <w:rPr>
          <w:rFonts w:hint="default"/>
          <w:lang w:val="en-US" w:eastAsia="zh-CN"/>
        </w:rPr>
      </w:pPr>
      <w:r>
        <w:rPr>
          <w:rFonts w:hint="eastAsia"/>
          <w:lang w:val="en-US" w:eastAsia="zh-CN"/>
        </w:rPr>
        <w:t>附件1项目备案文件</w:t>
      </w:r>
    </w:p>
    <w:p w14:paraId="7800807A">
      <w:pPr>
        <w:pStyle w:val="10"/>
        <w:jc w:val="both"/>
        <w:rPr>
          <w:rFonts w:hint="default"/>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drawing>
          <wp:inline distT="0" distB="0" distL="114300" distR="114300">
            <wp:extent cx="5271135" cy="6574155"/>
            <wp:effectExtent l="0" t="0" r="5715" b="17145"/>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17"/>
                    <a:stretch>
                      <a:fillRect/>
                    </a:stretch>
                  </pic:blipFill>
                  <pic:spPr>
                    <a:xfrm>
                      <a:off x="0" y="0"/>
                      <a:ext cx="5271135" cy="6574155"/>
                    </a:xfrm>
                    <a:prstGeom prst="rect">
                      <a:avLst/>
                    </a:prstGeom>
                    <a:noFill/>
                    <a:ln>
                      <a:noFill/>
                    </a:ln>
                  </pic:spPr>
                </pic:pic>
              </a:graphicData>
            </a:graphic>
          </wp:inline>
        </w:drawing>
      </w:r>
    </w:p>
    <w:p w14:paraId="3009324D">
      <w:pPr>
        <w:pStyle w:val="8"/>
        <w:bidi w:val="0"/>
        <w:rPr>
          <w:rFonts w:hint="default"/>
          <w:color w:val="auto"/>
          <w:lang w:val="en-US" w:eastAsia="zh-CN"/>
        </w:rPr>
      </w:pPr>
      <w:r>
        <w:rPr>
          <w:rFonts w:hint="eastAsia"/>
          <w:lang w:val="en-US" w:eastAsia="zh-CN"/>
        </w:rPr>
        <w:t>附件2房屋产权证</w:t>
      </w:r>
    </w:p>
    <w:p w14:paraId="7384E89B">
      <w:pPr>
        <w:pStyle w:val="10"/>
        <w:jc w:val="center"/>
        <w:rPr>
          <w:rFonts w:hint="default"/>
          <w:color w:val="auto"/>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color w:val="auto"/>
          <w:lang w:val="en-US" w:eastAsia="zh-CN"/>
        </w:rPr>
        <w:drawing>
          <wp:inline distT="0" distB="0" distL="114300" distR="114300">
            <wp:extent cx="4769485" cy="6291580"/>
            <wp:effectExtent l="0" t="0" r="13970" b="12065"/>
            <wp:docPr id="40" name="图片 40" descr="土地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土地证"/>
                    <pic:cNvPicPr>
                      <a:picLocks noChangeAspect="1"/>
                    </pic:cNvPicPr>
                  </pic:nvPicPr>
                  <pic:blipFill>
                    <a:blip r:embed="rId18"/>
                    <a:stretch>
                      <a:fillRect/>
                    </a:stretch>
                  </pic:blipFill>
                  <pic:spPr>
                    <a:xfrm rot="16200000">
                      <a:off x="0" y="0"/>
                      <a:ext cx="4769485" cy="6291580"/>
                    </a:xfrm>
                    <a:prstGeom prst="rect">
                      <a:avLst/>
                    </a:prstGeom>
                  </pic:spPr>
                </pic:pic>
              </a:graphicData>
            </a:graphic>
          </wp:inline>
        </w:drawing>
      </w:r>
    </w:p>
    <w:p w14:paraId="6563078C">
      <w:pPr>
        <w:pStyle w:val="8"/>
        <w:bidi w:val="0"/>
        <w:rPr>
          <w:rFonts w:hint="eastAsia"/>
          <w:lang w:val="en-US" w:eastAsia="zh-CN"/>
        </w:rPr>
      </w:pPr>
      <w:r>
        <w:rPr>
          <w:rFonts w:hint="eastAsia"/>
          <w:lang w:val="en-US" w:eastAsia="zh-CN"/>
        </w:rPr>
        <w:t>附件3环境质量监测报告（引用数据部分截取）</w:t>
      </w:r>
    </w:p>
    <w:p w14:paraId="4AADAE62">
      <w:pPr>
        <w:pStyle w:val="10"/>
        <w:jc w:val="center"/>
        <w:rPr>
          <w:rFonts w:hint="default"/>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auto"/>
          <w:lang w:val="en-US" w:eastAsia="zh-CN"/>
        </w:rPr>
        <w:drawing>
          <wp:inline distT="0" distB="0" distL="114300" distR="114300">
            <wp:extent cx="5296535" cy="7493000"/>
            <wp:effectExtent l="0" t="0" r="18415" b="12700"/>
            <wp:docPr id="95" name="图片 95" descr="FW1221300辽宁三江供暖有限公司——扫描件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FW1221300辽宁三江供暖有限公司——扫描件_00"/>
                    <pic:cNvPicPr>
                      <a:picLocks noChangeAspect="1"/>
                    </pic:cNvPicPr>
                  </pic:nvPicPr>
                  <pic:blipFill>
                    <a:blip r:embed="rId19"/>
                    <a:stretch>
                      <a:fillRect/>
                    </a:stretch>
                  </pic:blipFill>
                  <pic:spPr>
                    <a:xfrm>
                      <a:off x="0" y="0"/>
                      <a:ext cx="5296535" cy="7493000"/>
                    </a:xfrm>
                    <a:prstGeom prst="rect">
                      <a:avLst/>
                    </a:prstGeom>
                  </pic:spPr>
                </pic:pic>
              </a:graphicData>
            </a:graphic>
          </wp:inline>
        </w:drawing>
      </w:r>
      <w:r>
        <w:rPr>
          <w:rFonts w:hint="eastAsia"/>
          <w:color w:val="auto"/>
          <w:lang w:val="en-US" w:eastAsia="zh-CN"/>
        </w:rPr>
        <w:drawing>
          <wp:inline distT="0" distB="0" distL="114300" distR="114300">
            <wp:extent cx="5280660" cy="7471410"/>
            <wp:effectExtent l="0" t="0" r="15240" b="15240"/>
            <wp:docPr id="41" name="图片 41" descr="FW1221300辽宁三江供暖有限公司——扫描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W1221300辽宁三江供暖有限公司——扫描件_01"/>
                    <pic:cNvPicPr>
                      <a:picLocks noChangeAspect="1"/>
                    </pic:cNvPicPr>
                  </pic:nvPicPr>
                  <pic:blipFill>
                    <a:blip r:embed="rId20"/>
                    <a:stretch>
                      <a:fillRect/>
                    </a:stretch>
                  </pic:blipFill>
                  <pic:spPr>
                    <a:xfrm>
                      <a:off x="0" y="0"/>
                      <a:ext cx="5280660" cy="7471410"/>
                    </a:xfrm>
                    <a:prstGeom prst="rect">
                      <a:avLst/>
                    </a:prstGeom>
                  </pic:spPr>
                </pic:pic>
              </a:graphicData>
            </a:graphic>
          </wp:inline>
        </w:drawing>
      </w:r>
      <w:r>
        <w:rPr>
          <w:rFonts w:hint="eastAsia"/>
          <w:color w:val="auto"/>
          <w:lang w:val="en-US" w:eastAsia="zh-CN"/>
        </w:rPr>
        <w:drawing>
          <wp:inline distT="0" distB="0" distL="114300" distR="114300">
            <wp:extent cx="5252720" cy="7430770"/>
            <wp:effectExtent l="0" t="0" r="5080" b="17780"/>
            <wp:docPr id="93" name="图片 93" descr="FW1221300辽宁三江供暖有限公司——扫描件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FW1221300辽宁三江供暖有限公司——扫描件_02"/>
                    <pic:cNvPicPr>
                      <a:picLocks noChangeAspect="1"/>
                    </pic:cNvPicPr>
                  </pic:nvPicPr>
                  <pic:blipFill>
                    <a:blip r:embed="rId21"/>
                    <a:stretch>
                      <a:fillRect/>
                    </a:stretch>
                  </pic:blipFill>
                  <pic:spPr>
                    <a:xfrm>
                      <a:off x="0" y="0"/>
                      <a:ext cx="5252720" cy="7430770"/>
                    </a:xfrm>
                    <a:prstGeom prst="rect">
                      <a:avLst/>
                    </a:prstGeom>
                  </pic:spPr>
                </pic:pic>
              </a:graphicData>
            </a:graphic>
          </wp:inline>
        </w:drawing>
      </w:r>
      <w:r>
        <w:rPr>
          <w:rFonts w:hint="eastAsia"/>
          <w:color w:val="auto"/>
          <w:lang w:val="en-US" w:eastAsia="zh-CN"/>
        </w:rPr>
        <w:drawing>
          <wp:inline distT="0" distB="0" distL="114300" distR="114300">
            <wp:extent cx="5260975" cy="7442835"/>
            <wp:effectExtent l="0" t="0" r="15875" b="5715"/>
            <wp:docPr id="42" name="图片 42" descr="FW1221300辽宁三江供暖有限公司——扫描件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FW1221300辽宁三江供暖有限公司——扫描件_04"/>
                    <pic:cNvPicPr>
                      <a:picLocks noChangeAspect="1"/>
                    </pic:cNvPicPr>
                  </pic:nvPicPr>
                  <pic:blipFill>
                    <a:blip r:embed="rId22"/>
                    <a:stretch>
                      <a:fillRect/>
                    </a:stretch>
                  </pic:blipFill>
                  <pic:spPr>
                    <a:xfrm>
                      <a:off x="0" y="0"/>
                      <a:ext cx="5260975" cy="7442835"/>
                    </a:xfrm>
                    <a:prstGeom prst="rect">
                      <a:avLst/>
                    </a:prstGeom>
                  </pic:spPr>
                </pic:pic>
              </a:graphicData>
            </a:graphic>
          </wp:inline>
        </w:drawing>
      </w:r>
      <w:r>
        <w:rPr>
          <w:rFonts w:hint="eastAsia"/>
          <w:color w:val="auto"/>
          <w:lang w:val="en-US" w:eastAsia="zh-CN"/>
        </w:rPr>
        <w:drawing>
          <wp:inline distT="0" distB="0" distL="114300" distR="114300">
            <wp:extent cx="5252720" cy="7430770"/>
            <wp:effectExtent l="0" t="0" r="5080" b="17780"/>
            <wp:docPr id="43" name="图片 43" descr="FW1221300辽宁三江供暖有限公司——扫描件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W1221300辽宁三江供暖有限公司——扫描件_11"/>
                    <pic:cNvPicPr>
                      <a:picLocks noChangeAspect="1"/>
                    </pic:cNvPicPr>
                  </pic:nvPicPr>
                  <pic:blipFill>
                    <a:blip r:embed="rId23"/>
                    <a:stretch>
                      <a:fillRect/>
                    </a:stretch>
                  </pic:blipFill>
                  <pic:spPr>
                    <a:xfrm>
                      <a:off x="0" y="0"/>
                      <a:ext cx="5252720" cy="7430770"/>
                    </a:xfrm>
                    <a:prstGeom prst="rect">
                      <a:avLst/>
                    </a:prstGeom>
                  </pic:spPr>
                </pic:pic>
              </a:graphicData>
            </a:graphic>
          </wp:inline>
        </w:drawing>
      </w:r>
      <w:r>
        <w:rPr>
          <w:rFonts w:hint="eastAsia"/>
          <w:color w:val="auto"/>
          <w:lang w:val="en-US" w:eastAsia="zh-CN"/>
        </w:rPr>
        <w:drawing>
          <wp:inline distT="0" distB="0" distL="114300" distR="114300">
            <wp:extent cx="5252720" cy="7430770"/>
            <wp:effectExtent l="0" t="0" r="5080" b="17780"/>
            <wp:docPr id="60" name="图片 60" descr="FW1221300辽宁三江供暖有限公司——扫描件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FW1221300辽宁三江供暖有限公司——扫描件_12"/>
                    <pic:cNvPicPr>
                      <a:picLocks noChangeAspect="1"/>
                    </pic:cNvPicPr>
                  </pic:nvPicPr>
                  <pic:blipFill>
                    <a:blip r:embed="rId24"/>
                    <a:stretch>
                      <a:fillRect/>
                    </a:stretch>
                  </pic:blipFill>
                  <pic:spPr>
                    <a:xfrm>
                      <a:off x="0" y="0"/>
                      <a:ext cx="5252720" cy="7430770"/>
                    </a:xfrm>
                    <a:prstGeom prst="rect">
                      <a:avLst/>
                    </a:prstGeom>
                  </pic:spPr>
                </pic:pic>
              </a:graphicData>
            </a:graphic>
          </wp:inline>
        </w:drawing>
      </w:r>
      <w:r>
        <w:rPr>
          <w:rFonts w:hint="eastAsia"/>
          <w:color w:val="auto"/>
          <w:lang w:val="en-US" w:eastAsia="zh-CN"/>
        </w:rPr>
        <w:drawing>
          <wp:inline distT="0" distB="0" distL="114300" distR="114300">
            <wp:extent cx="5184140" cy="7334250"/>
            <wp:effectExtent l="0" t="0" r="16510" b="0"/>
            <wp:docPr id="59" name="图片 59" descr="FW1221300辽宁三江供暖有限公司——扫描件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FW1221300辽宁三江供暖有限公司——扫描件_13"/>
                    <pic:cNvPicPr>
                      <a:picLocks noChangeAspect="1"/>
                    </pic:cNvPicPr>
                  </pic:nvPicPr>
                  <pic:blipFill>
                    <a:blip r:embed="rId25"/>
                    <a:stretch>
                      <a:fillRect/>
                    </a:stretch>
                  </pic:blipFill>
                  <pic:spPr>
                    <a:xfrm>
                      <a:off x="0" y="0"/>
                      <a:ext cx="5184140" cy="7334250"/>
                    </a:xfrm>
                    <a:prstGeom prst="rect">
                      <a:avLst/>
                    </a:prstGeom>
                  </pic:spPr>
                </pic:pic>
              </a:graphicData>
            </a:graphic>
          </wp:inline>
        </w:drawing>
      </w:r>
      <w:r>
        <w:rPr>
          <w:rFonts w:hint="eastAsia"/>
          <w:color w:val="auto"/>
          <w:lang w:val="en-US" w:eastAsia="zh-CN"/>
        </w:rPr>
        <w:drawing>
          <wp:inline distT="0" distB="0" distL="114300" distR="114300">
            <wp:extent cx="5268595" cy="7454265"/>
            <wp:effectExtent l="0" t="0" r="8255" b="13335"/>
            <wp:docPr id="58" name="图片 58" descr="FW1221300辽宁三江供暖有限公司——扫描件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FW1221300辽宁三江供暖有限公司——扫描件_14"/>
                    <pic:cNvPicPr>
                      <a:picLocks noChangeAspect="1"/>
                    </pic:cNvPicPr>
                  </pic:nvPicPr>
                  <pic:blipFill>
                    <a:blip r:embed="rId26"/>
                    <a:stretch>
                      <a:fillRect/>
                    </a:stretch>
                  </pic:blipFill>
                  <pic:spPr>
                    <a:xfrm>
                      <a:off x="0" y="0"/>
                      <a:ext cx="5268595" cy="7454265"/>
                    </a:xfrm>
                    <a:prstGeom prst="rect">
                      <a:avLst/>
                    </a:prstGeom>
                  </pic:spPr>
                </pic:pic>
              </a:graphicData>
            </a:graphic>
          </wp:inline>
        </w:drawing>
      </w:r>
      <w:r>
        <w:rPr>
          <w:rFonts w:hint="eastAsia"/>
          <w:color w:val="auto"/>
          <w:lang w:val="en-US" w:eastAsia="zh-CN"/>
        </w:rPr>
        <w:drawing>
          <wp:inline distT="0" distB="0" distL="114300" distR="114300">
            <wp:extent cx="5123815" cy="7248525"/>
            <wp:effectExtent l="0" t="0" r="635" b="9525"/>
            <wp:docPr id="57" name="图片 57" descr="FW1221300辽宁三江供暖有限公司——扫描件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FW1221300辽宁三江供暖有限公司——扫描件_15"/>
                    <pic:cNvPicPr>
                      <a:picLocks noChangeAspect="1"/>
                    </pic:cNvPicPr>
                  </pic:nvPicPr>
                  <pic:blipFill>
                    <a:blip r:embed="rId27"/>
                    <a:stretch>
                      <a:fillRect/>
                    </a:stretch>
                  </pic:blipFill>
                  <pic:spPr>
                    <a:xfrm>
                      <a:off x="0" y="0"/>
                      <a:ext cx="5123815" cy="7248525"/>
                    </a:xfrm>
                    <a:prstGeom prst="rect">
                      <a:avLst/>
                    </a:prstGeom>
                  </pic:spPr>
                </pic:pic>
              </a:graphicData>
            </a:graphic>
          </wp:inline>
        </w:drawing>
      </w:r>
      <w:r>
        <w:rPr>
          <w:rFonts w:hint="eastAsia"/>
          <w:color w:val="auto"/>
          <w:lang w:val="en-US" w:eastAsia="zh-CN"/>
        </w:rPr>
        <w:drawing>
          <wp:inline distT="0" distB="0" distL="114300" distR="114300">
            <wp:extent cx="5220335" cy="7385685"/>
            <wp:effectExtent l="0" t="0" r="18415" b="5715"/>
            <wp:docPr id="44" name="图片 44" descr="FW1221300辽宁三江供暖有限公司——扫描件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FW1221300辽宁三江供暖有限公司——扫描件_19"/>
                    <pic:cNvPicPr>
                      <a:picLocks noChangeAspect="1"/>
                    </pic:cNvPicPr>
                  </pic:nvPicPr>
                  <pic:blipFill>
                    <a:blip r:embed="rId28"/>
                    <a:stretch>
                      <a:fillRect/>
                    </a:stretch>
                  </pic:blipFill>
                  <pic:spPr>
                    <a:xfrm>
                      <a:off x="0" y="0"/>
                      <a:ext cx="5220335" cy="7385685"/>
                    </a:xfrm>
                    <a:prstGeom prst="rect">
                      <a:avLst/>
                    </a:prstGeom>
                  </pic:spPr>
                </pic:pic>
              </a:graphicData>
            </a:graphic>
          </wp:inline>
        </w:drawing>
      </w:r>
    </w:p>
    <w:p w14:paraId="476EAB44">
      <w:pPr>
        <w:pStyle w:val="8"/>
        <w:bidi w:val="0"/>
        <w:rPr>
          <w:rFonts w:hint="eastAsia"/>
          <w:lang w:val="en-US" w:eastAsia="zh-CN"/>
        </w:rPr>
      </w:pPr>
      <w:r>
        <w:rPr>
          <w:rFonts w:hint="eastAsia"/>
          <w:lang w:val="en-US" w:eastAsia="zh-CN"/>
        </w:rPr>
        <w:t>附件4三线一单查询结果</w:t>
      </w:r>
    </w:p>
    <w:p w14:paraId="3893BE51">
      <w:pPr>
        <w:pStyle w:val="10"/>
        <w:jc w:val="center"/>
        <w:rPr>
          <w:rFonts w:hint="default"/>
          <w:lang w:val="en-US"/>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drawing>
          <wp:inline distT="0" distB="0" distL="114300" distR="114300">
            <wp:extent cx="8217535" cy="3702050"/>
            <wp:effectExtent l="0" t="0" r="12065" b="12700"/>
            <wp:docPr id="4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
                    <pic:cNvPicPr>
                      <a:picLocks noChangeAspect="1"/>
                    </pic:cNvPicPr>
                  </pic:nvPicPr>
                  <pic:blipFill>
                    <a:blip r:embed="rId29"/>
                    <a:stretch>
                      <a:fillRect/>
                    </a:stretch>
                  </pic:blipFill>
                  <pic:spPr>
                    <a:xfrm>
                      <a:off x="0" y="0"/>
                      <a:ext cx="8217535" cy="3702050"/>
                    </a:xfrm>
                    <a:prstGeom prst="rect">
                      <a:avLst/>
                    </a:prstGeom>
                    <a:noFill/>
                    <a:ln>
                      <a:noFill/>
                    </a:ln>
                  </pic:spPr>
                </pic:pic>
              </a:graphicData>
            </a:graphic>
          </wp:inline>
        </w:drawing>
      </w:r>
    </w:p>
    <w:p w14:paraId="7C3CD7E0">
      <w:pPr>
        <w:pStyle w:val="8"/>
        <w:bidi w:val="0"/>
        <w:rPr>
          <w:rFonts w:hint="default"/>
          <w:lang w:val="en-US" w:eastAsia="zh-CN"/>
        </w:rPr>
      </w:pPr>
      <w:r>
        <w:rPr>
          <w:rFonts w:hint="eastAsia"/>
          <w:lang w:val="en-US" w:eastAsia="zh-CN"/>
        </w:rPr>
        <w:t>附件5场地租赁协议</w:t>
      </w:r>
    </w:p>
    <w:p w14:paraId="28CCE094">
      <w:pPr>
        <w:pStyle w:val="10"/>
        <w:rPr>
          <w:rFonts w:hint="eastAsia"/>
          <w:lang w:val="en-US" w:eastAsia="zh-CN"/>
        </w:rPr>
      </w:pPr>
      <w:r>
        <w:rPr>
          <w:rFonts w:hint="eastAsia"/>
          <w:lang w:val="en-US" w:eastAsia="zh-CN"/>
        </w:rPr>
        <w:drawing>
          <wp:inline distT="0" distB="0" distL="114300" distR="114300">
            <wp:extent cx="5253990" cy="7214870"/>
            <wp:effectExtent l="0" t="0" r="3810" b="5080"/>
            <wp:docPr id="8" name="图片 8" descr="微信图片_20260515130735_13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60515130735_134_7"/>
                    <pic:cNvPicPr>
                      <a:picLocks noChangeAspect="1"/>
                    </pic:cNvPicPr>
                  </pic:nvPicPr>
                  <pic:blipFill>
                    <a:blip r:embed="rId30"/>
                    <a:stretch>
                      <a:fillRect/>
                    </a:stretch>
                  </pic:blipFill>
                  <pic:spPr>
                    <a:xfrm>
                      <a:off x="0" y="0"/>
                      <a:ext cx="5253990" cy="7214870"/>
                    </a:xfrm>
                    <a:prstGeom prst="rect">
                      <a:avLst/>
                    </a:prstGeom>
                  </pic:spPr>
                </pic:pic>
              </a:graphicData>
            </a:graphic>
          </wp:inline>
        </w:drawing>
      </w:r>
      <w:r>
        <w:rPr>
          <w:rFonts w:hint="eastAsia"/>
          <w:lang w:val="en-US" w:eastAsia="zh-CN"/>
        </w:rPr>
        <w:drawing>
          <wp:inline distT="0" distB="0" distL="114300" distR="114300">
            <wp:extent cx="5264785" cy="7164705"/>
            <wp:effectExtent l="0" t="0" r="12065" b="17145"/>
            <wp:docPr id="9" name="图片 9" descr="微信图片_20260515130736_136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60515130736_136_7"/>
                    <pic:cNvPicPr>
                      <a:picLocks noChangeAspect="1"/>
                    </pic:cNvPicPr>
                  </pic:nvPicPr>
                  <pic:blipFill>
                    <a:blip r:embed="rId31"/>
                    <a:stretch>
                      <a:fillRect/>
                    </a:stretch>
                  </pic:blipFill>
                  <pic:spPr>
                    <a:xfrm>
                      <a:off x="0" y="0"/>
                      <a:ext cx="5264785" cy="7164705"/>
                    </a:xfrm>
                    <a:prstGeom prst="rect">
                      <a:avLst/>
                    </a:prstGeom>
                  </pic:spPr>
                </pic:pic>
              </a:graphicData>
            </a:graphic>
          </wp:inline>
        </w:drawing>
      </w:r>
      <w:r>
        <w:rPr>
          <w:rFonts w:hint="eastAsia"/>
          <w:lang w:val="en-US" w:eastAsia="zh-CN"/>
        </w:rPr>
        <w:drawing>
          <wp:inline distT="0" distB="0" distL="114300" distR="114300">
            <wp:extent cx="5271770" cy="7571105"/>
            <wp:effectExtent l="0" t="0" r="5080" b="10795"/>
            <wp:docPr id="10" name="图片 10" descr="微信图片_20260515130737_137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60515130737_137_7"/>
                    <pic:cNvPicPr>
                      <a:picLocks noChangeAspect="1"/>
                    </pic:cNvPicPr>
                  </pic:nvPicPr>
                  <pic:blipFill>
                    <a:blip r:embed="rId32"/>
                    <a:stretch>
                      <a:fillRect/>
                    </a:stretch>
                  </pic:blipFill>
                  <pic:spPr>
                    <a:xfrm>
                      <a:off x="0" y="0"/>
                      <a:ext cx="5271770" cy="7571105"/>
                    </a:xfrm>
                    <a:prstGeom prst="rect">
                      <a:avLst/>
                    </a:prstGeom>
                  </pic:spPr>
                </pic:pic>
              </a:graphicData>
            </a:graphic>
          </wp:inline>
        </w:drawing>
      </w:r>
    </w:p>
    <w:p w14:paraId="0630459D">
      <w:pPr>
        <w:pStyle w:val="10"/>
        <w:jc w:val="center"/>
      </w:pPr>
    </w:p>
    <w:p w14:paraId="7350B5F3">
      <w:pPr>
        <w:pStyle w:val="10"/>
        <w:jc w:val="center"/>
      </w:pPr>
    </w:p>
    <w:p w14:paraId="7A1B918C">
      <w:pPr>
        <w:pStyle w:val="10"/>
        <w:jc w:val="center"/>
      </w:pPr>
    </w:p>
    <w:p w14:paraId="2555F989">
      <w:pPr>
        <w:pStyle w:val="10"/>
        <w:jc w:val="center"/>
      </w:pPr>
    </w:p>
    <w:p w14:paraId="5E5D5430">
      <w:pPr>
        <w:pStyle w:val="10"/>
        <w:jc w:val="center"/>
      </w:pPr>
    </w:p>
    <w:p w14:paraId="50327F70">
      <w:pPr>
        <w:pStyle w:val="8"/>
        <w:bidi w:val="0"/>
        <w:rPr>
          <w:rFonts w:hint="eastAsia"/>
          <w:lang w:val="en-US" w:eastAsia="zh-CN"/>
        </w:rPr>
      </w:pPr>
      <w:r>
        <w:rPr>
          <w:rFonts w:hint="eastAsia"/>
          <w:lang w:val="en-US" w:eastAsia="zh-CN"/>
        </w:rPr>
        <w:t>附件6委托书</w:t>
      </w:r>
    </w:p>
    <w:p w14:paraId="69DAE2D9">
      <w:pPr>
        <w:pStyle w:val="10"/>
        <w:rPr>
          <w:rFonts w:hint="default"/>
          <w:lang w:val="en-US" w:eastAsia="zh-CN"/>
        </w:rPr>
      </w:pPr>
    </w:p>
    <w:p w14:paraId="40F108E7">
      <w:pPr>
        <w:jc w:val="center"/>
        <w:rPr>
          <w:rFonts w:hint="default" w:ascii="Times New Roman" w:hAnsi="Times New Roman" w:eastAsia="宋体" w:cs="Times New Roman"/>
          <w:b/>
          <w:sz w:val="52"/>
          <w:szCs w:val="52"/>
          <w:highlight w:val="none"/>
        </w:rPr>
      </w:pPr>
      <w:r>
        <w:rPr>
          <w:rFonts w:hint="default" w:ascii="Times New Roman" w:hAnsi="Times New Roman" w:eastAsia="黑体" w:cs="Times New Roman"/>
          <w:b/>
          <w:sz w:val="52"/>
          <w:szCs w:val="52"/>
          <w:highlight w:val="none"/>
        </w:rPr>
        <w:t>委 托 书</w:t>
      </w:r>
    </w:p>
    <w:p w14:paraId="130D95CC">
      <w:pPr>
        <w:adjustRightInd w:val="0"/>
        <w:snapToGrid w:val="0"/>
        <w:spacing w:line="360" w:lineRule="auto"/>
        <w:rPr>
          <w:rFonts w:hint="default" w:ascii="Times New Roman" w:hAnsi="Times New Roman" w:eastAsia="宋体" w:cs="Times New Roman"/>
          <w:sz w:val="32"/>
          <w:szCs w:val="32"/>
          <w:highlight w:val="none"/>
        </w:rPr>
      </w:pPr>
    </w:p>
    <w:p w14:paraId="4DD7B572">
      <w:pPr>
        <w:adjustRightInd w:val="0"/>
        <w:snapToGrid w:val="0"/>
        <w:spacing w:line="360" w:lineRule="auto"/>
        <w:rPr>
          <w:rFonts w:hint="default" w:ascii="Times New Roman" w:hAnsi="Times New Roman" w:eastAsia="宋体" w:cs="Times New Roman"/>
          <w:color w:val="000000"/>
          <w:sz w:val="32"/>
          <w:szCs w:val="32"/>
          <w:highlight w:val="none"/>
        </w:rPr>
      </w:pPr>
      <w:r>
        <w:rPr>
          <w:rFonts w:hint="eastAsia" w:ascii="Times New Roman" w:hAnsi="Times New Roman" w:eastAsia="宋体" w:cs="Times New Roman"/>
          <w:color w:val="000000"/>
          <w:sz w:val="32"/>
          <w:szCs w:val="32"/>
          <w:highlight w:val="none"/>
          <w:lang w:val="en-US" w:eastAsia="zh-CN"/>
        </w:rPr>
        <w:t>辽宁碧辉科技有限公司</w:t>
      </w:r>
      <w:r>
        <w:rPr>
          <w:rFonts w:hint="default" w:ascii="Times New Roman" w:hAnsi="Times New Roman" w:eastAsia="宋体" w:cs="Times New Roman"/>
          <w:color w:val="000000"/>
          <w:sz w:val="32"/>
          <w:szCs w:val="32"/>
          <w:highlight w:val="none"/>
        </w:rPr>
        <w:t>：</w:t>
      </w:r>
    </w:p>
    <w:p w14:paraId="26526E93">
      <w:pPr>
        <w:adjustRightInd w:val="0"/>
        <w:snapToGrid w:val="0"/>
        <w:spacing w:line="360" w:lineRule="auto"/>
        <w:rPr>
          <w:rFonts w:hint="default" w:ascii="Times New Roman" w:hAnsi="Times New Roman" w:eastAsia="宋体" w:cs="Times New Roman"/>
          <w:sz w:val="32"/>
          <w:szCs w:val="32"/>
          <w:highlight w:val="none"/>
        </w:rPr>
      </w:pPr>
    </w:p>
    <w:p w14:paraId="41B17C12">
      <w:pPr>
        <w:adjustRightInd w:val="0"/>
        <w:snapToGrid w:val="0"/>
        <w:spacing w:line="360" w:lineRule="auto"/>
        <w:ind w:firstLine="640" w:firstLineChars="200"/>
        <w:rPr>
          <w:rFonts w:hint="default" w:ascii="Times New Roman" w:hAnsi="Times New Roman" w:eastAsia="宋体" w:cs="Times New Roman"/>
          <w:sz w:val="32"/>
          <w:szCs w:val="32"/>
          <w:highlight w:val="none"/>
        </w:rPr>
      </w:pPr>
      <w:r>
        <w:rPr>
          <w:rFonts w:hint="default" w:ascii="Times New Roman" w:hAnsi="Times New Roman" w:eastAsia="宋体" w:cs="Times New Roman"/>
          <w:sz w:val="32"/>
          <w:szCs w:val="32"/>
          <w:highlight w:val="none"/>
        </w:rPr>
        <w:t>根据中华人民共和国国务院令第682号《建设项目环境保护管理条例》的规定，我单位《</w:t>
      </w:r>
      <w:r>
        <w:rPr>
          <w:rFonts w:hint="eastAsia" w:ascii="Times New Roman" w:hAnsi="Times New Roman" w:eastAsia="宋体" w:cs="Times New Roman"/>
          <w:sz w:val="32"/>
          <w:szCs w:val="32"/>
          <w:highlight w:val="none"/>
          <w:lang w:val="en-US" w:eastAsia="zh-CN"/>
        </w:rPr>
        <w:t>中氧朗渤（辽宁）制氧有限公司食品级二氧化碳、食品级氮气及食品级一氧化二氮产业化建设项目</w:t>
      </w:r>
      <w:r>
        <w:rPr>
          <w:rFonts w:hint="default" w:ascii="Times New Roman" w:hAnsi="Times New Roman" w:eastAsia="宋体" w:cs="Times New Roman"/>
          <w:sz w:val="32"/>
          <w:szCs w:val="32"/>
          <w:highlight w:val="none"/>
        </w:rPr>
        <w:t>》需要进行环境影响评价，特委托贵公司进行该项目的环境影响评价工作，望接受委托后，尽早开展工作为盼！</w:t>
      </w:r>
    </w:p>
    <w:p w14:paraId="631DC2BA">
      <w:pPr>
        <w:adjustRightInd w:val="0"/>
        <w:snapToGrid w:val="0"/>
        <w:spacing w:line="360" w:lineRule="auto"/>
        <w:rPr>
          <w:rFonts w:hint="default" w:ascii="Times New Roman" w:hAnsi="Times New Roman" w:eastAsia="宋体" w:cs="Times New Roman"/>
          <w:sz w:val="32"/>
          <w:szCs w:val="32"/>
          <w:highlight w:val="none"/>
        </w:rPr>
      </w:pPr>
    </w:p>
    <w:p w14:paraId="53BE9E03">
      <w:pPr>
        <w:pStyle w:val="14"/>
        <w:adjustRightInd w:val="0"/>
        <w:snapToGrid w:val="0"/>
        <w:spacing w:line="360" w:lineRule="auto"/>
        <w:ind w:firstLine="6720" w:firstLineChars="2100"/>
        <w:rPr>
          <w:rFonts w:hint="default" w:ascii="Times New Roman" w:hAnsi="Times New Roman" w:eastAsia="宋体" w:cs="Times New Roman"/>
          <w:sz w:val="32"/>
          <w:szCs w:val="32"/>
          <w:highlight w:val="none"/>
        </w:rPr>
      </w:pPr>
      <w:r>
        <w:rPr>
          <w:rFonts w:hint="default" w:ascii="Times New Roman" w:hAnsi="Times New Roman" w:eastAsia="宋体" w:cs="Times New Roman"/>
          <w:sz w:val="32"/>
          <w:szCs w:val="32"/>
          <w:highlight w:val="none"/>
        </w:rPr>
        <w:t>此致</w:t>
      </w:r>
    </w:p>
    <w:p w14:paraId="1C514E18">
      <w:pPr>
        <w:pStyle w:val="14"/>
        <w:adjustRightInd w:val="0"/>
        <w:snapToGrid w:val="0"/>
        <w:spacing w:line="360" w:lineRule="auto"/>
        <w:ind w:firstLine="6720" w:firstLineChars="2100"/>
        <w:rPr>
          <w:rFonts w:hint="default" w:ascii="Times New Roman" w:hAnsi="Times New Roman" w:eastAsia="宋体" w:cs="Times New Roman"/>
          <w:sz w:val="32"/>
          <w:szCs w:val="32"/>
          <w:highlight w:val="none"/>
        </w:rPr>
      </w:pPr>
      <w:r>
        <w:rPr>
          <w:rFonts w:hint="default" w:ascii="Times New Roman" w:hAnsi="Times New Roman" w:eastAsia="宋体" w:cs="Times New Roman"/>
          <w:sz w:val="32"/>
          <w:szCs w:val="32"/>
          <w:highlight w:val="none"/>
        </w:rPr>
        <w:t>敬礼</w:t>
      </w:r>
    </w:p>
    <w:p w14:paraId="1E65FEC1">
      <w:pPr>
        <w:ind w:right="560"/>
        <w:rPr>
          <w:rFonts w:hint="default" w:ascii="Times New Roman" w:hAnsi="Times New Roman" w:eastAsia="宋体" w:cs="Times New Roman"/>
          <w:sz w:val="28"/>
          <w:szCs w:val="28"/>
          <w:highlight w:val="none"/>
        </w:rPr>
      </w:pPr>
    </w:p>
    <w:p w14:paraId="70B3E43F">
      <w:pPr>
        <w:ind w:right="560"/>
        <w:rPr>
          <w:rFonts w:hint="default" w:ascii="Times New Roman" w:hAnsi="Times New Roman" w:eastAsia="宋体" w:cs="Times New Roman"/>
          <w:sz w:val="28"/>
          <w:szCs w:val="28"/>
          <w:highlight w:val="none"/>
        </w:rPr>
      </w:pPr>
    </w:p>
    <w:p w14:paraId="5480ED48">
      <w:pPr>
        <w:ind w:right="560"/>
        <w:rPr>
          <w:rFonts w:hint="default" w:ascii="Times New Roman" w:hAnsi="Times New Roman" w:eastAsia="宋体" w:cs="Times New Roman"/>
          <w:sz w:val="32"/>
          <w:szCs w:val="32"/>
          <w:highlight w:val="none"/>
        </w:rPr>
      </w:pPr>
    </w:p>
    <w:p w14:paraId="672F5348">
      <w:pPr>
        <w:spacing w:line="480" w:lineRule="exact"/>
        <w:jc w:val="center"/>
        <w:rPr>
          <w:rFonts w:hint="default" w:ascii="Times New Roman" w:hAnsi="Times New Roman" w:eastAsia="宋体" w:cs="Times New Roman"/>
          <w:color w:val="FF0000"/>
          <w:sz w:val="32"/>
          <w:szCs w:val="32"/>
          <w:highlight w:val="none"/>
        </w:rPr>
      </w:pPr>
      <w:r>
        <w:rPr>
          <w:rFonts w:hint="default" w:ascii="Times New Roman" w:hAnsi="Times New Roman" w:eastAsia="宋体" w:cs="Times New Roman"/>
          <w:sz w:val="32"/>
          <w:szCs w:val="32"/>
          <w:highlight w:val="none"/>
        </w:rPr>
        <w:t xml:space="preserve">          </w:t>
      </w:r>
      <w:r>
        <w:rPr>
          <w:rFonts w:hint="eastAsia" w:ascii="Times New Roman" w:hAnsi="Times New Roman" w:eastAsia="宋体" w:cs="Times New Roman"/>
          <w:sz w:val="32"/>
          <w:szCs w:val="32"/>
          <w:highlight w:val="none"/>
          <w:lang w:val="en-US" w:eastAsia="zh-CN"/>
        </w:rPr>
        <w:t xml:space="preserve">   </w:t>
      </w:r>
      <w:r>
        <w:rPr>
          <w:rFonts w:hint="default" w:ascii="Times New Roman" w:hAnsi="Times New Roman" w:eastAsia="宋体" w:cs="Times New Roman"/>
          <w:sz w:val="32"/>
          <w:szCs w:val="32"/>
          <w:highlight w:val="none"/>
        </w:rPr>
        <w:t>委托单位：</w:t>
      </w:r>
      <w:r>
        <w:rPr>
          <w:rFonts w:hint="eastAsia" w:ascii="Times New Roman" w:hAnsi="Times New Roman" w:eastAsia="宋体" w:cs="Times New Roman"/>
          <w:sz w:val="32"/>
          <w:szCs w:val="32"/>
          <w:highlight w:val="none"/>
          <w:lang w:val="en-US" w:eastAsia="zh-CN"/>
        </w:rPr>
        <w:t>中氧朗渤（辽宁）制氧有限公司</w:t>
      </w:r>
      <w:r>
        <w:rPr>
          <w:rFonts w:hint="default" w:ascii="Times New Roman" w:hAnsi="Times New Roman" w:eastAsia="宋体" w:cs="Times New Roman"/>
          <w:sz w:val="32"/>
          <w:szCs w:val="32"/>
          <w:highlight w:val="none"/>
        </w:rPr>
        <w:t xml:space="preserve">    </w:t>
      </w:r>
      <w:r>
        <w:rPr>
          <w:rFonts w:hint="default" w:ascii="Times New Roman" w:hAnsi="Times New Roman" w:eastAsia="宋体" w:cs="Times New Roman"/>
          <w:color w:val="FF0000"/>
          <w:sz w:val="32"/>
          <w:szCs w:val="32"/>
          <w:highlight w:val="none"/>
        </w:rPr>
        <w:t xml:space="preserve">                                 </w:t>
      </w:r>
    </w:p>
    <w:p w14:paraId="52B4886E">
      <w:pPr>
        <w:pStyle w:val="1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color w:val="FF0000"/>
          <w:sz w:val="32"/>
          <w:szCs w:val="32"/>
          <w:highlight w:val="none"/>
        </w:rPr>
        <w:t xml:space="preserve">                    </w:t>
      </w:r>
      <w:r>
        <w:rPr>
          <w:rFonts w:hint="eastAsia" w:ascii="Times New Roman" w:hAnsi="Times New Roman" w:eastAsia="宋体" w:cs="Times New Roman"/>
          <w:color w:val="FF0000"/>
          <w:sz w:val="32"/>
          <w:szCs w:val="32"/>
          <w:highlight w:val="none"/>
          <w:lang w:val="en-US" w:eastAsia="zh-CN"/>
        </w:rPr>
        <w:t xml:space="preserve">          </w:t>
      </w:r>
      <w:r>
        <w:rPr>
          <w:rFonts w:hint="default" w:ascii="Times New Roman" w:hAnsi="Times New Roman" w:eastAsia="宋体" w:cs="Times New Roman"/>
          <w:color w:val="000000"/>
          <w:sz w:val="32"/>
          <w:szCs w:val="32"/>
          <w:highlight w:val="none"/>
        </w:rPr>
        <w:t>20</w:t>
      </w:r>
      <w:r>
        <w:rPr>
          <w:rFonts w:hint="eastAsia" w:ascii="Times New Roman" w:hAnsi="Times New Roman" w:eastAsia="宋体" w:cs="Times New Roman"/>
          <w:color w:val="000000"/>
          <w:sz w:val="32"/>
          <w:szCs w:val="32"/>
          <w:highlight w:val="none"/>
          <w:lang w:val="en-US" w:eastAsia="zh-CN"/>
        </w:rPr>
        <w:t>26</w:t>
      </w:r>
      <w:r>
        <w:rPr>
          <w:rFonts w:hint="default" w:ascii="Times New Roman" w:hAnsi="Times New Roman" w:eastAsia="宋体" w:cs="Times New Roman"/>
          <w:color w:val="000000"/>
          <w:sz w:val="32"/>
          <w:szCs w:val="32"/>
          <w:highlight w:val="none"/>
        </w:rPr>
        <w:t>年</w:t>
      </w:r>
      <w:r>
        <w:rPr>
          <w:rFonts w:hint="eastAsia" w:ascii="Times New Roman" w:hAnsi="Times New Roman" w:eastAsia="宋体" w:cs="Times New Roman"/>
          <w:color w:val="000000"/>
          <w:sz w:val="32"/>
          <w:szCs w:val="32"/>
          <w:highlight w:val="none"/>
          <w:lang w:val="en-US" w:eastAsia="zh-CN"/>
        </w:rPr>
        <w:t>5</w:t>
      </w:r>
      <w:r>
        <w:rPr>
          <w:rFonts w:hint="default" w:ascii="Times New Roman" w:hAnsi="Times New Roman" w:eastAsia="宋体" w:cs="Times New Roman"/>
          <w:color w:val="000000"/>
          <w:sz w:val="32"/>
          <w:szCs w:val="32"/>
          <w:highlight w:val="none"/>
        </w:rPr>
        <w:t>月</w:t>
      </w:r>
    </w:p>
    <w:p w14:paraId="28608448">
      <w:pPr>
        <w:pStyle w:val="8"/>
        <w:bidi w:val="0"/>
        <w:rPr>
          <w:color w:val="auto"/>
        </w:rPr>
      </w:pPr>
      <w:r>
        <w:rPr>
          <w:color w:val="auto"/>
        </w:rPr>
        <w:t>附图</w:t>
      </w:r>
      <w:r>
        <w:rPr>
          <w:rFonts w:hint="eastAsia"/>
          <w:color w:val="auto"/>
          <w:lang w:val="en-US" w:eastAsia="zh-CN"/>
        </w:rPr>
        <w:t>1</w:t>
      </w:r>
      <w:r>
        <w:rPr>
          <w:color w:val="auto"/>
        </w:rPr>
        <w:t>项目地理位置图</w:t>
      </w:r>
    </w:p>
    <w:p w14:paraId="0A9615D8">
      <w:pPr>
        <w:pStyle w:val="10"/>
        <w:jc w:val="center"/>
      </w:pPr>
      <w:r>
        <w:drawing>
          <wp:inline distT="0" distB="0" distL="114300" distR="114300">
            <wp:extent cx="6409055" cy="4886325"/>
            <wp:effectExtent l="0" t="0" r="10795" b="952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33"/>
                    <a:stretch>
                      <a:fillRect/>
                    </a:stretch>
                  </pic:blipFill>
                  <pic:spPr>
                    <a:xfrm>
                      <a:off x="0" y="0"/>
                      <a:ext cx="6409055" cy="4886325"/>
                    </a:xfrm>
                    <a:prstGeom prst="rect">
                      <a:avLst/>
                    </a:prstGeom>
                    <a:noFill/>
                    <a:ln>
                      <a:noFill/>
                    </a:ln>
                  </pic:spPr>
                </pic:pic>
              </a:graphicData>
            </a:graphic>
          </wp:inline>
        </w:drawing>
      </w:r>
    </w:p>
    <w:p w14:paraId="44D4DE6A">
      <w:pPr>
        <w:pStyle w:val="8"/>
        <w:bidi w:val="0"/>
        <w:rPr>
          <w:rFonts w:hint="eastAsia"/>
          <w:lang w:val="en-US" w:eastAsia="zh-CN"/>
        </w:rPr>
      </w:pPr>
      <w:r>
        <w:rPr>
          <w:rFonts w:hint="eastAsia"/>
          <w:color w:val="auto"/>
          <w:lang w:val="en-US" w:eastAsia="zh-CN"/>
        </w:rPr>
        <w:t>附图2本项目与园区相对位置关系图</w:t>
      </w:r>
    </w:p>
    <w:p w14:paraId="2B5B4DC0">
      <w:pPr>
        <w:pStyle w:val="10"/>
        <w:jc w:val="center"/>
        <w:rPr>
          <w:rFonts w:hint="eastAsia"/>
          <w:lang w:val="en-US" w:eastAsia="zh-CN"/>
        </w:rPr>
      </w:pPr>
      <w:r>
        <w:drawing>
          <wp:inline distT="0" distB="0" distL="114300" distR="114300">
            <wp:extent cx="6553835" cy="4858385"/>
            <wp:effectExtent l="0" t="0" r="18415" b="1841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34"/>
                    <a:stretch>
                      <a:fillRect/>
                    </a:stretch>
                  </pic:blipFill>
                  <pic:spPr>
                    <a:xfrm>
                      <a:off x="0" y="0"/>
                      <a:ext cx="6553835" cy="4858385"/>
                    </a:xfrm>
                    <a:prstGeom prst="rect">
                      <a:avLst/>
                    </a:prstGeom>
                    <a:noFill/>
                    <a:ln>
                      <a:noFill/>
                    </a:ln>
                  </pic:spPr>
                </pic:pic>
              </a:graphicData>
            </a:graphic>
          </wp:inline>
        </w:drawing>
      </w:r>
    </w:p>
    <w:p w14:paraId="7AB32B11">
      <w:pPr>
        <w:pStyle w:val="8"/>
        <w:bidi w:val="0"/>
        <w:rPr>
          <w:rFonts w:hint="default"/>
          <w:color w:val="auto"/>
          <w:lang w:val="en-US" w:eastAsia="zh-CN"/>
        </w:rPr>
      </w:pPr>
      <w:r>
        <w:rPr>
          <w:color w:val="auto"/>
        </w:rPr>
        <w:t>附图</w:t>
      </w:r>
      <w:r>
        <w:rPr>
          <w:rFonts w:hint="eastAsia"/>
          <w:color w:val="auto"/>
          <w:lang w:val="en-US" w:eastAsia="zh-CN"/>
        </w:rPr>
        <w:t>3环境保护目标分布图</w:t>
      </w:r>
    </w:p>
    <w:p w14:paraId="143572EF">
      <w:pPr>
        <w:jc w:val="center"/>
        <w:rPr>
          <w:rFonts w:hint="eastAsia"/>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drawing>
          <wp:inline distT="0" distB="0" distL="114300" distR="114300">
            <wp:extent cx="7134860" cy="4893945"/>
            <wp:effectExtent l="0" t="0" r="889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35"/>
                    <a:stretch>
                      <a:fillRect/>
                    </a:stretch>
                  </pic:blipFill>
                  <pic:spPr>
                    <a:xfrm>
                      <a:off x="0" y="0"/>
                      <a:ext cx="7134860" cy="4893945"/>
                    </a:xfrm>
                    <a:prstGeom prst="rect">
                      <a:avLst/>
                    </a:prstGeom>
                    <a:noFill/>
                    <a:ln>
                      <a:noFill/>
                    </a:ln>
                  </pic:spPr>
                </pic:pic>
              </a:graphicData>
            </a:graphic>
          </wp:inline>
        </w:drawing>
      </w:r>
    </w:p>
    <w:p w14:paraId="390DF1EE">
      <w:pPr>
        <w:pStyle w:val="8"/>
        <w:bidi w:val="0"/>
        <w:rPr>
          <w:rFonts w:hint="eastAsia" w:eastAsia="宋体"/>
          <w:color w:val="auto"/>
          <w:lang w:val="en-US" w:eastAsia="zh-CN"/>
        </w:rPr>
      </w:pPr>
      <w:r>
        <w:rPr>
          <w:rFonts w:hint="eastAsia"/>
          <w:color w:val="auto"/>
          <w:lang w:val="en-US" w:eastAsia="zh-CN"/>
        </w:rPr>
        <w:t>附图4环境质量现状监测点位与本项目位置关系图</w:t>
      </w:r>
    </w:p>
    <w:p w14:paraId="6BDA005D">
      <w:pPr>
        <w:jc w:val="center"/>
        <w:rPr>
          <w:rFonts w:hint="default"/>
          <w:lang w:val="en-US" w:eastAsia="zh-CN"/>
        </w:rPr>
      </w:pPr>
      <w:r>
        <w:drawing>
          <wp:inline distT="0" distB="0" distL="114300" distR="114300">
            <wp:extent cx="7602855" cy="4491355"/>
            <wp:effectExtent l="0" t="0" r="17145" b="4445"/>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36"/>
                    <a:stretch>
                      <a:fillRect/>
                    </a:stretch>
                  </pic:blipFill>
                  <pic:spPr>
                    <a:xfrm>
                      <a:off x="0" y="0"/>
                      <a:ext cx="7602855" cy="4491355"/>
                    </a:xfrm>
                    <a:prstGeom prst="rect">
                      <a:avLst/>
                    </a:prstGeom>
                    <a:noFill/>
                    <a:ln>
                      <a:noFill/>
                    </a:ln>
                  </pic:spPr>
                </pic:pic>
              </a:graphicData>
            </a:graphic>
          </wp:inline>
        </w:drawing>
      </w:r>
    </w:p>
    <w:p w14:paraId="3B03B420">
      <w:pPr>
        <w:pStyle w:val="2"/>
        <w:rPr>
          <w:rFonts w:hint="default"/>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2072468C">
      <w:pPr>
        <w:pStyle w:val="8"/>
        <w:bidi w:val="0"/>
        <w:rPr>
          <w:rFonts w:hint="eastAsia"/>
          <w:lang w:val="en-US" w:eastAsia="zh-CN"/>
        </w:rPr>
      </w:pPr>
      <w:r>
        <w:rPr>
          <w:rFonts w:hint="eastAsia"/>
          <w:lang w:val="en-US" w:eastAsia="zh-CN"/>
        </w:rPr>
        <w:t>附图5本项目与所在区域声功能区划图</w:t>
      </w:r>
    </w:p>
    <w:p w14:paraId="7D362927">
      <w:pPr>
        <w:pStyle w:val="10"/>
        <w:jc w:val="center"/>
        <w:rPr>
          <w:rFonts w:hint="eastAsia"/>
          <w:lang w:val="en-US" w:eastAsia="zh-CN"/>
        </w:rPr>
      </w:pPr>
      <w:r>
        <w:drawing>
          <wp:inline distT="0" distB="0" distL="114300" distR="114300">
            <wp:extent cx="7105015" cy="4940935"/>
            <wp:effectExtent l="0" t="0" r="635" b="12065"/>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pic:cNvPicPr>
                      <a:picLocks noChangeAspect="1"/>
                    </pic:cNvPicPr>
                  </pic:nvPicPr>
                  <pic:blipFill>
                    <a:blip r:embed="rId37"/>
                    <a:stretch>
                      <a:fillRect/>
                    </a:stretch>
                  </pic:blipFill>
                  <pic:spPr>
                    <a:xfrm>
                      <a:off x="0" y="0"/>
                      <a:ext cx="7105015" cy="4940935"/>
                    </a:xfrm>
                    <a:prstGeom prst="rect">
                      <a:avLst/>
                    </a:prstGeom>
                    <a:noFill/>
                    <a:ln>
                      <a:noFill/>
                    </a:ln>
                  </pic:spPr>
                </pic:pic>
              </a:graphicData>
            </a:graphic>
          </wp:inline>
        </w:drawing>
      </w:r>
    </w:p>
    <w:p w14:paraId="3DD50889">
      <w:pPr>
        <w:pStyle w:val="8"/>
        <w:bidi w:val="0"/>
        <w:rPr>
          <w:rFonts w:hint="eastAsia"/>
          <w:color w:val="auto"/>
          <w:lang w:val="en-US" w:eastAsia="zh-CN"/>
        </w:rPr>
      </w:pPr>
      <w:r>
        <w:rPr>
          <w:rFonts w:hint="eastAsia"/>
          <w:color w:val="auto"/>
          <w:lang w:val="en-US" w:eastAsia="zh-CN"/>
        </w:rPr>
        <w:t>附图6厂区平面布置图</w:t>
      </w:r>
    </w:p>
    <w:p w14:paraId="39862843">
      <w:pPr>
        <w:pStyle w:val="10"/>
        <w:jc w:val="center"/>
        <w:rPr>
          <w:rFonts w:hint="default"/>
          <w:lang w:val="en-US" w:eastAsia="zh-CN"/>
        </w:rPr>
      </w:pPr>
      <w:r>
        <w:drawing>
          <wp:inline distT="0" distB="0" distL="114300" distR="114300">
            <wp:extent cx="6022340" cy="4790440"/>
            <wp:effectExtent l="0" t="0" r="16510"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8"/>
                    <a:stretch>
                      <a:fillRect/>
                    </a:stretch>
                  </pic:blipFill>
                  <pic:spPr>
                    <a:xfrm>
                      <a:off x="0" y="0"/>
                      <a:ext cx="6022340" cy="4790440"/>
                    </a:xfrm>
                    <a:prstGeom prst="rect">
                      <a:avLst/>
                    </a:prstGeom>
                    <a:noFill/>
                    <a:ln>
                      <a:noFill/>
                    </a:ln>
                  </pic:spPr>
                </pic:pic>
              </a:graphicData>
            </a:graphic>
          </wp:inline>
        </w:drawing>
      </w:r>
    </w:p>
    <w:p w14:paraId="51D386C8">
      <w:pPr>
        <w:pStyle w:val="8"/>
        <w:bidi w:val="0"/>
        <w:rPr>
          <w:rFonts w:hint="eastAsia"/>
          <w:color w:val="auto"/>
          <w:lang w:val="en-US" w:eastAsia="zh-CN"/>
        </w:rPr>
      </w:pPr>
      <w:r>
        <w:rPr>
          <w:rFonts w:hint="eastAsia"/>
          <w:color w:val="auto"/>
          <w:lang w:val="en-US" w:eastAsia="zh-CN"/>
        </w:rPr>
        <w:t>附图7生产车间平面布置及分区防渗图</w:t>
      </w:r>
    </w:p>
    <w:p w14:paraId="24BA6C3E">
      <w:pPr>
        <w:pStyle w:val="10"/>
        <w:rPr>
          <w:rFonts w:hint="eastAsia"/>
          <w:lang w:val="en-US" w:eastAsia="zh-CN"/>
        </w:rPr>
      </w:pPr>
      <w:r>
        <w:drawing>
          <wp:inline distT="0" distB="0" distL="114300" distR="114300">
            <wp:extent cx="8851265" cy="3373120"/>
            <wp:effectExtent l="0" t="0" r="6985"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9"/>
                    <a:stretch>
                      <a:fillRect/>
                    </a:stretch>
                  </pic:blipFill>
                  <pic:spPr>
                    <a:xfrm>
                      <a:off x="0" y="0"/>
                      <a:ext cx="8851265" cy="3373120"/>
                    </a:xfrm>
                    <a:prstGeom prst="rect">
                      <a:avLst/>
                    </a:prstGeom>
                    <a:noFill/>
                    <a:ln>
                      <a:noFill/>
                    </a:ln>
                  </pic:spPr>
                </pic:pic>
              </a:graphicData>
            </a:graphic>
          </wp:inline>
        </w:drawing>
      </w:r>
    </w:p>
    <w:p w14:paraId="5AB81CD6">
      <w:pPr>
        <w:pStyle w:val="10"/>
        <w:rPr>
          <w:rFonts w:hint="default"/>
          <w:color w:val="auto"/>
          <w:lang w:val="en-US" w:eastAsia="zh-CN"/>
        </w:rPr>
      </w:pPr>
    </w:p>
    <w:p w14:paraId="5E03ECCA">
      <w:pPr>
        <w:tabs>
          <w:tab w:val="left" w:pos="9242"/>
        </w:tabs>
        <w:bidi w:val="0"/>
        <w:jc w:val="center"/>
        <w:rPr>
          <w:rFonts w:hint="default" w:eastAsia="宋体"/>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altName w:val="微软雅黑"/>
    <w:panose1 w:val="02000000000000000000"/>
    <w:charset w:val="86"/>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403C7">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6360A">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EB6360A">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A8113"/>
    <w:multiLevelType w:val="singleLevel"/>
    <w:tmpl w:val="8E6A8113"/>
    <w:lvl w:ilvl="0" w:tentative="0">
      <w:start w:val="149"/>
      <w:numFmt w:val="decimal"/>
      <w:suff w:val="nothing"/>
      <w:lvlText w:val="%1、"/>
      <w:lvlJc w:val="left"/>
    </w:lvl>
  </w:abstractNum>
  <w:abstractNum w:abstractNumId="1">
    <w:nsid w:val="EE197A63"/>
    <w:multiLevelType w:val="singleLevel"/>
    <w:tmpl w:val="EE197A63"/>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E57C2"/>
    <w:rsid w:val="007C58FB"/>
    <w:rsid w:val="008F6EB2"/>
    <w:rsid w:val="00912F09"/>
    <w:rsid w:val="009F2D86"/>
    <w:rsid w:val="00A3470B"/>
    <w:rsid w:val="00EA09CB"/>
    <w:rsid w:val="00F26828"/>
    <w:rsid w:val="01347A59"/>
    <w:rsid w:val="016607E5"/>
    <w:rsid w:val="016A6FD7"/>
    <w:rsid w:val="019C3329"/>
    <w:rsid w:val="01A26404"/>
    <w:rsid w:val="01AC475F"/>
    <w:rsid w:val="01E5196A"/>
    <w:rsid w:val="01F36124"/>
    <w:rsid w:val="022C0730"/>
    <w:rsid w:val="0261662C"/>
    <w:rsid w:val="02664583"/>
    <w:rsid w:val="02774E0F"/>
    <w:rsid w:val="028C16A6"/>
    <w:rsid w:val="02EE7DF2"/>
    <w:rsid w:val="02F56359"/>
    <w:rsid w:val="035A307B"/>
    <w:rsid w:val="038A1BB2"/>
    <w:rsid w:val="03930BBE"/>
    <w:rsid w:val="03962511"/>
    <w:rsid w:val="039C3694"/>
    <w:rsid w:val="03A367D0"/>
    <w:rsid w:val="03E31C1D"/>
    <w:rsid w:val="040C6C32"/>
    <w:rsid w:val="048E1E25"/>
    <w:rsid w:val="049F168E"/>
    <w:rsid w:val="05355B4E"/>
    <w:rsid w:val="05477C90"/>
    <w:rsid w:val="05AA02EA"/>
    <w:rsid w:val="05E530D0"/>
    <w:rsid w:val="05F73C83"/>
    <w:rsid w:val="06093262"/>
    <w:rsid w:val="0626162A"/>
    <w:rsid w:val="06585F98"/>
    <w:rsid w:val="069D39AB"/>
    <w:rsid w:val="06B8474A"/>
    <w:rsid w:val="06F04422"/>
    <w:rsid w:val="071C4FC6"/>
    <w:rsid w:val="0735266F"/>
    <w:rsid w:val="076D15CF"/>
    <w:rsid w:val="076D5176"/>
    <w:rsid w:val="07752A09"/>
    <w:rsid w:val="077D49D8"/>
    <w:rsid w:val="078313A0"/>
    <w:rsid w:val="078B5EF9"/>
    <w:rsid w:val="079806C6"/>
    <w:rsid w:val="07A33243"/>
    <w:rsid w:val="07B76CEE"/>
    <w:rsid w:val="07D1358A"/>
    <w:rsid w:val="07E945F8"/>
    <w:rsid w:val="07F7358F"/>
    <w:rsid w:val="080B044A"/>
    <w:rsid w:val="081E4FBF"/>
    <w:rsid w:val="082223BA"/>
    <w:rsid w:val="082857CB"/>
    <w:rsid w:val="08397703"/>
    <w:rsid w:val="083D63F6"/>
    <w:rsid w:val="08642E79"/>
    <w:rsid w:val="0865499C"/>
    <w:rsid w:val="08847FA2"/>
    <w:rsid w:val="08901A19"/>
    <w:rsid w:val="08B60D54"/>
    <w:rsid w:val="08B848CB"/>
    <w:rsid w:val="08C2103A"/>
    <w:rsid w:val="08C711B3"/>
    <w:rsid w:val="08C96D7B"/>
    <w:rsid w:val="08D062B9"/>
    <w:rsid w:val="08D71CD3"/>
    <w:rsid w:val="09690C9A"/>
    <w:rsid w:val="09914976"/>
    <w:rsid w:val="099E431C"/>
    <w:rsid w:val="09BA2AC6"/>
    <w:rsid w:val="09BB76AA"/>
    <w:rsid w:val="09D64B52"/>
    <w:rsid w:val="09E0077E"/>
    <w:rsid w:val="09EF3F4E"/>
    <w:rsid w:val="0A013B63"/>
    <w:rsid w:val="0A222B45"/>
    <w:rsid w:val="0A544528"/>
    <w:rsid w:val="0A837652"/>
    <w:rsid w:val="0ABD793F"/>
    <w:rsid w:val="0ACB4257"/>
    <w:rsid w:val="0B18682D"/>
    <w:rsid w:val="0B50509B"/>
    <w:rsid w:val="0B621790"/>
    <w:rsid w:val="0BB14BF8"/>
    <w:rsid w:val="0BB66F9D"/>
    <w:rsid w:val="0BBA591E"/>
    <w:rsid w:val="0C0B585A"/>
    <w:rsid w:val="0C223B8F"/>
    <w:rsid w:val="0C547201"/>
    <w:rsid w:val="0C6C1A58"/>
    <w:rsid w:val="0CD11792"/>
    <w:rsid w:val="0CDC175D"/>
    <w:rsid w:val="0CE00A95"/>
    <w:rsid w:val="0CEA4B0E"/>
    <w:rsid w:val="0D1349C7"/>
    <w:rsid w:val="0D3F3A0E"/>
    <w:rsid w:val="0D6B0646"/>
    <w:rsid w:val="0D6B3990"/>
    <w:rsid w:val="0DA33F9D"/>
    <w:rsid w:val="0DB2123B"/>
    <w:rsid w:val="0DB22E24"/>
    <w:rsid w:val="0DB461AA"/>
    <w:rsid w:val="0DCD2DC7"/>
    <w:rsid w:val="0DCE553E"/>
    <w:rsid w:val="0DEF71E2"/>
    <w:rsid w:val="0DFA7935"/>
    <w:rsid w:val="0E2F3A82"/>
    <w:rsid w:val="0E3E5A73"/>
    <w:rsid w:val="0E601E8E"/>
    <w:rsid w:val="0E803068"/>
    <w:rsid w:val="0E8E1971"/>
    <w:rsid w:val="0E94727B"/>
    <w:rsid w:val="0E9500E6"/>
    <w:rsid w:val="0EE505E5"/>
    <w:rsid w:val="0F130CAE"/>
    <w:rsid w:val="0F225395"/>
    <w:rsid w:val="0F245EA2"/>
    <w:rsid w:val="0F512094"/>
    <w:rsid w:val="0F67724C"/>
    <w:rsid w:val="0F717D09"/>
    <w:rsid w:val="0FA67D74"/>
    <w:rsid w:val="0FB25439"/>
    <w:rsid w:val="0FCD5301"/>
    <w:rsid w:val="0FD47B13"/>
    <w:rsid w:val="0FF705D0"/>
    <w:rsid w:val="101074FD"/>
    <w:rsid w:val="10463305"/>
    <w:rsid w:val="10617884"/>
    <w:rsid w:val="1065123B"/>
    <w:rsid w:val="107F4121"/>
    <w:rsid w:val="1090058C"/>
    <w:rsid w:val="10CC380A"/>
    <w:rsid w:val="10E2302E"/>
    <w:rsid w:val="10E26768"/>
    <w:rsid w:val="1151506F"/>
    <w:rsid w:val="11AF35A5"/>
    <w:rsid w:val="11CB3AC2"/>
    <w:rsid w:val="124B311E"/>
    <w:rsid w:val="12664571"/>
    <w:rsid w:val="128C33DB"/>
    <w:rsid w:val="12C624DB"/>
    <w:rsid w:val="12DA1AE3"/>
    <w:rsid w:val="12E678CA"/>
    <w:rsid w:val="12FC701A"/>
    <w:rsid w:val="131B5FC2"/>
    <w:rsid w:val="131E124B"/>
    <w:rsid w:val="13720A68"/>
    <w:rsid w:val="137257C3"/>
    <w:rsid w:val="13806647"/>
    <w:rsid w:val="13BD38DE"/>
    <w:rsid w:val="13C8306A"/>
    <w:rsid w:val="14014734"/>
    <w:rsid w:val="14151E43"/>
    <w:rsid w:val="14225C3D"/>
    <w:rsid w:val="14302302"/>
    <w:rsid w:val="145B2179"/>
    <w:rsid w:val="149E2B37"/>
    <w:rsid w:val="15063063"/>
    <w:rsid w:val="151933B7"/>
    <w:rsid w:val="152509D7"/>
    <w:rsid w:val="154F0566"/>
    <w:rsid w:val="15782CC8"/>
    <w:rsid w:val="15C076B6"/>
    <w:rsid w:val="161E0A1B"/>
    <w:rsid w:val="16312B92"/>
    <w:rsid w:val="16543395"/>
    <w:rsid w:val="16FF2141"/>
    <w:rsid w:val="17193B23"/>
    <w:rsid w:val="177C7F0A"/>
    <w:rsid w:val="179A7AEA"/>
    <w:rsid w:val="179D5560"/>
    <w:rsid w:val="17AF3703"/>
    <w:rsid w:val="17C82061"/>
    <w:rsid w:val="17EA4F8C"/>
    <w:rsid w:val="18313299"/>
    <w:rsid w:val="183F1ED5"/>
    <w:rsid w:val="18842C1C"/>
    <w:rsid w:val="18A66D13"/>
    <w:rsid w:val="18BA2DE2"/>
    <w:rsid w:val="18C94AAF"/>
    <w:rsid w:val="18D938ED"/>
    <w:rsid w:val="18F356AC"/>
    <w:rsid w:val="192853CC"/>
    <w:rsid w:val="19290DD7"/>
    <w:rsid w:val="194F6D87"/>
    <w:rsid w:val="19631874"/>
    <w:rsid w:val="199E386A"/>
    <w:rsid w:val="19BB266E"/>
    <w:rsid w:val="19D5064E"/>
    <w:rsid w:val="19D61256"/>
    <w:rsid w:val="19E219A9"/>
    <w:rsid w:val="19E318F6"/>
    <w:rsid w:val="19EF24A3"/>
    <w:rsid w:val="19EF40C6"/>
    <w:rsid w:val="1A350AAF"/>
    <w:rsid w:val="1ABE27D0"/>
    <w:rsid w:val="1AEA3A99"/>
    <w:rsid w:val="1B2A7AAB"/>
    <w:rsid w:val="1B3F3C7E"/>
    <w:rsid w:val="1B4C2B0C"/>
    <w:rsid w:val="1B505038"/>
    <w:rsid w:val="1B66217E"/>
    <w:rsid w:val="1BA4236E"/>
    <w:rsid w:val="1BC06160"/>
    <w:rsid w:val="1BC713E3"/>
    <w:rsid w:val="1BD16179"/>
    <w:rsid w:val="1BD87507"/>
    <w:rsid w:val="1BF34341"/>
    <w:rsid w:val="1C0F0A4F"/>
    <w:rsid w:val="1C0F28CB"/>
    <w:rsid w:val="1C3D736A"/>
    <w:rsid w:val="1C3F5422"/>
    <w:rsid w:val="1C441FD4"/>
    <w:rsid w:val="1C6C2094"/>
    <w:rsid w:val="1C883073"/>
    <w:rsid w:val="1C9B17E5"/>
    <w:rsid w:val="1CA3724C"/>
    <w:rsid w:val="1CAE0268"/>
    <w:rsid w:val="1CE26164"/>
    <w:rsid w:val="1CF10155"/>
    <w:rsid w:val="1D1722B1"/>
    <w:rsid w:val="1D547061"/>
    <w:rsid w:val="1D6A0633"/>
    <w:rsid w:val="1D715330"/>
    <w:rsid w:val="1DA04055"/>
    <w:rsid w:val="1DA35BF9"/>
    <w:rsid w:val="1DAB47A7"/>
    <w:rsid w:val="1DB46E22"/>
    <w:rsid w:val="1DD22ECE"/>
    <w:rsid w:val="1E2F362A"/>
    <w:rsid w:val="1E487669"/>
    <w:rsid w:val="1E4A3B7E"/>
    <w:rsid w:val="1E894AE9"/>
    <w:rsid w:val="1E9A4F48"/>
    <w:rsid w:val="1EC67E3A"/>
    <w:rsid w:val="1ECA5375"/>
    <w:rsid w:val="1F461FF1"/>
    <w:rsid w:val="1F4E0726"/>
    <w:rsid w:val="1F6A7473"/>
    <w:rsid w:val="1F7532BF"/>
    <w:rsid w:val="1F7C63FB"/>
    <w:rsid w:val="1F7C7944"/>
    <w:rsid w:val="1F8452B0"/>
    <w:rsid w:val="1F884DA0"/>
    <w:rsid w:val="1F9770A8"/>
    <w:rsid w:val="1FC61D6D"/>
    <w:rsid w:val="200D1A0E"/>
    <w:rsid w:val="202028F3"/>
    <w:rsid w:val="205C53A4"/>
    <w:rsid w:val="20621E19"/>
    <w:rsid w:val="20831A0C"/>
    <w:rsid w:val="208C6AE1"/>
    <w:rsid w:val="20DA5ACF"/>
    <w:rsid w:val="20E26732"/>
    <w:rsid w:val="20E34258"/>
    <w:rsid w:val="21032C22"/>
    <w:rsid w:val="21164B50"/>
    <w:rsid w:val="212B00D9"/>
    <w:rsid w:val="21725D08"/>
    <w:rsid w:val="21A734D8"/>
    <w:rsid w:val="21D36836"/>
    <w:rsid w:val="21E71F53"/>
    <w:rsid w:val="21FA73E0"/>
    <w:rsid w:val="2208666C"/>
    <w:rsid w:val="224B759E"/>
    <w:rsid w:val="22C759AB"/>
    <w:rsid w:val="22CF39EE"/>
    <w:rsid w:val="23080DAD"/>
    <w:rsid w:val="23250B58"/>
    <w:rsid w:val="23627FFE"/>
    <w:rsid w:val="23A418A2"/>
    <w:rsid w:val="240B5FA0"/>
    <w:rsid w:val="242411CC"/>
    <w:rsid w:val="24C90335"/>
    <w:rsid w:val="24F271AB"/>
    <w:rsid w:val="253A38FD"/>
    <w:rsid w:val="253C34BF"/>
    <w:rsid w:val="255F75A2"/>
    <w:rsid w:val="256040C9"/>
    <w:rsid w:val="25641E0C"/>
    <w:rsid w:val="258B55EA"/>
    <w:rsid w:val="25A97AD1"/>
    <w:rsid w:val="25C97EC1"/>
    <w:rsid w:val="25F058F4"/>
    <w:rsid w:val="25F807A6"/>
    <w:rsid w:val="25F81E87"/>
    <w:rsid w:val="26094761"/>
    <w:rsid w:val="26123616"/>
    <w:rsid w:val="26160AAB"/>
    <w:rsid w:val="2628108B"/>
    <w:rsid w:val="26330B91"/>
    <w:rsid w:val="26422D08"/>
    <w:rsid w:val="264B4D7A"/>
    <w:rsid w:val="26571970"/>
    <w:rsid w:val="26597496"/>
    <w:rsid w:val="26736733"/>
    <w:rsid w:val="26926505"/>
    <w:rsid w:val="26A8289C"/>
    <w:rsid w:val="26B80661"/>
    <w:rsid w:val="26CC6D6F"/>
    <w:rsid w:val="26EB7080"/>
    <w:rsid w:val="26EC20B9"/>
    <w:rsid w:val="26F15921"/>
    <w:rsid w:val="273932D9"/>
    <w:rsid w:val="27651E6B"/>
    <w:rsid w:val="276854B7"/>
    <w:rsid w:val="27D74B17"/>
    <w:rsid w:val="27DE4252"/>
    <w:rsid w:val="28017DE6"/>
    <w:rsid w:val="283F6F85"/>
    <w:rsid w:val="284444C1"/>
    <w:rsid w:val="285474AF"/>
    <w:rsid w:val="28634B22"/>
    <w:rsid w:val="28BC685F"/>
    <w:rsid w:val="28C22931"/>
    <w:rsid w:val="28E74AAC"/>
    <w:rsid w:val="291F33E2"/>
    <w:rsid w:val="29233D8C"/>
    <w:rsid w:val="296A5517"/>
    <w:rsid w:val="2972767E"/>
    <w:rsid w:val="297D10CF"/>
    <w:rsid w:val="297D1637"/>
    <w:rsid w:val="29982084"/>
    <w:rsid w:val="29BF6221"/>
    <w:rsid w:val="2A273408"/>
    <w:rsid w:val="2A3C32C3"/>
    <w:rsid w:val="2A6759EA"/>
    <w:rsid w:val="2A6E5785"/>
    <w:rsid w:val="2A7523C5"/>
    <w:rsid w:val="2A7E4E57"/>
    <w:rsid w:val="2A8E261B"/>
    <w:rsid w:val="2AA77E46"/>
    <w:rsid w:val="2AAD7DB1"/>
    <w:rsid w:val="2AC35EDE"/>
    <w:rsid w:val="2AC77529"/>
    <w:rsid w:val="2B147E30"/>
    <w:rsid w:val="2B1C13B5"/>
    <w:rsid w:val="2B577946"/>
    <w:rsid w:val="2B6F18AA"/>
    <w:rsid w:val="2B714A72"/>
    <w:rsid w:val="2BB5653D"/>
    <w:rsid w:val="2BF17D12"/>
    <w:rsid w:val="2BF40D70"/>
    <w:rsid w:val="2C5801F0"/>
    <w:rsid w:val="2C647018"/>
    <w:rsid w:val="2C6B02E6"/>
    <w:rsid w:val="2C721A69"/>
    <w:rsid w:val="2C7915AE"/>
    <w:rsid w:val="2CB67F58"/>
    <w:rsid w:val="2CC1272A"/>
    <w:rsid w:val="2CDC2BCF"/>
    <w:rsid w:val="2D0447D1"/>
    <w:rsid w:val="2D0D2D89"/>
    <w:rsid w:val="2D13262D"/>
    <w:rsid w:val="2D65193F"/>
    <w:rsid w:val="2DCA0C7A"/>
    <w:rsid w:val="2DCD0917"/>
    <w:rsid w:val="2E0653FE"/>
    <w:rsid w:val="2E110657"/>
    <w:rsid w:val="2E6362DD"/>
    <w:rsid w:val="2E8C5F2F"/>
    <w:rsid w:val="2E9A689E"/>
    <w:rsid w:val="2EA96F63"/>
    <w:rsid w:val="2EF35FAE"/>
    <w:rsid w:val="2EF7784D"/>
    <w:rsid w:val="2F0C4CE3"/>
    <w:rsid w:val="2F44456A"/>
    <w:rsid w:val="2F4A3E20"/>
    <w:rsid w:val="2F566C69"/>
    <w:rsid w:val="2F8D1F5F"/>
    <w:rsid w:val="2F9623D9"/>
    <w:rsid w:val="2FAC2508"/>
    <w:rsid w:val="2FD8767E"/>
    <w:rsid w:val="302047D7"/>
    <w:rsid w:val="30286347"/>
    <w:rsid w:val="30465D41"/>
    <w:rsid w:val="30766E97"/>
    <w:rsid w:val="30B654E5"/>
    <w:rsid w:val="30D51E0F"/>
    <w:rsid w:val="30E81B43"/>
    <w:rsid w:val="310D77FB"/>
    <w:rsid w:val="31106931"/>
    <w:rsid w:val="314F0F4D"/>
    <w:rsid w:val="31532FD9"/>
    <w:rsid w:val="31704DFC"/>
    <w:rsid w:val="31B1462B"/>
    <w:rsid w:val="31BE28A4"/>
    <w:rsid w:val="31C37EBA"/>
    <w:rsid w:val="31CA7F73"/>
    <w:rsid w:val="31D4319A"/>
    <w:rsid w:val="31FB4158"/>
    <w:rsid w:val="321921D0"/>
    <w:rsid w:val="321B7281"/>
    <w:rsid w:val="323A4620"/>
    <w:rsid w:val="32582CF8"/>
    <w:rsid w:val="325F4087"/>
    <w:rsid w:val="333756F5"/>
    <w:rsid w:val="333B1513"/>
    <w:rsid w:val="337A5FAB"/>
    <w:rsid w:val="3385446A"/>
    <w:rsid w:val="339C7C58"/>
    <w:rsid w:val="33AC1B6D"/>
    <w:rsid w:val="33C1230E"/>
    <w:rsid w:val="33C42EA4"/>
    <w:rsid w:val="33CF2B46"/>
    <w:rsid w:val="33FF04C6"/>
    <w:rsid w:val="3409619C"/>
    <w:rsid w:val="340B09AD"/>
    <w:rsid w:val="34214901"/>
    <w:rsid w:val="3428514B"/>
    <w:rsid w:val="345E3ECA"/>
    <w:rsid w:val="345E575E"/>
    <w:rsid w:val="34837DC2"/>
    <w:rsid w:val="348453F6"/>
    <w:rsid w:val="34871673"/>
    <w:rsid w:val="34AE1D92"/>
    <w:rsid w:val="34BA37F6"/>
    <w:rsid w:val="34C113C9"/>
    <w:rsid w:val="34CD406E"/>
    <w:rsid w:val="34FB5BBD"/>
    <w:rsid w:val="3510699D"/>
    <w:rsid w:val="351F4567"/>
    <w:rsid w:val="358D4570"/>
    <w:rsid w:val="35B91474"/>
    <w:rsid w:val="35D05C27"/>
    <w:rsid w:val="35EE0253"/>
    <w:rsid w:val="3623361D"/>
    <w:rsid w:val="36376685"/>
    <w:rsid w:val="364729C7"/>
    <w:rsid w:val="367C43EE"/>
    <w:rsid w:val="36985DB9"/>
    <w:rsid w:val="36D16BD5"/>
    <w:rsid w:val="36D52B69"/>
    <w:rsid w:val="371E5B56"/>
    <w:rsid w:val="37465815"/>
    <w:rsid w:val="37691503"/>
    <w:rsid w:val="37692E75"/>
    <w:rsid w:val="377F3884"/>
    <w:rsid w:val="378464DD"/>
    <w:rsid w:val="37921173"/>
    <w:rsid w:val="379C11A0"/>
    <w:rsid w:val="37C05D83"/>
    <w:rsid w:val="38064FA4"/>
    <w:rsid w:val="3810372D"/>
    <w:rsid w:val="384B7C91"/>
    <w:rsid w:val="38606463"/>
    <w:rsid w:val="38610896"/>
    <w:rsid w:val="38A00F55"/>
    <w:rsid w:val="38AD5420"/>
    <w:rsid w:val="38D73DD6"/>
    <w:rsid w:val="38D86941"/>
    <w:rsid w:val="38F66DC7"/>
    <w:rsid w:val="39007C46"/>
    <w:rsid w:val="390908A8"/>
    <w:rsid w:val="39460508"/>
    <w:rsid w:val="395104A1"/>
    <w:rsid w:val="397523E2"/>
    <w:rsid w:val="399C397E"/>
    <w:rsid w:val="39BA7DF4"/>
    <w:rsid w:val="39C22B9C"/>
    <w:rsid w:val="39CC34C4"/>
    <w:rsid w:val="39DE1D35"/>
    <w:rsid w:val="3A0A0D7C"/>
    <w:rsid w:val="3A1A443B"/>
    <w:rsid w:val="3A202DB8"/>
    <w:rsid w:val="3A213355"/>
    <w:rsid w:val="3A541FF7"/>
    <w:rsid w:val="3A6C619B"/>
    <w:rsid w:val="3A7E7E4B"/>
    <w:rsid w:val="3A947B69"/>
    <w:rsid w:val="3AD43138"/>
    <w:rsid w:val="3AD45DA4"/>
    <w:rsid w:val="3AD61AF0"/>
    <w:rsid w:val="3B251BE5"/>
    <w:rsid w:val="3B2D2566"/>
    <w:rsid w:val="3B800B35"/>
    <w:rsid w:val="3BDF69CD"/>
    <w:rsid w:val="3C3A6C71"/>
    <w:rsid w:val="3C544530"/>
    <w:rsid w:val="3CA408E8"/>
    <w:rsid w:val="3CB03348"/>
    <w:rsid w:val="3CE358B4"/>
    <w:rsid w:val="3D673DEF"/>
    <w:rsid w:val="3D785FFC"/>
    <w:rsid w:val="3D7E4F87"/>
    <w:rsid w:val="3D8211E1"/>
    <w:rsid w:val="3D8B543F"/>
    <w:rsid w:val="3D934BE4"/>
    <w:rsid w:val="3DBC0012"/>
    <w:rsid w:val="3DC02614"/>
    <w:rsid w:val="3DE43692"/>
    <w:rsid w:val="3E2B306F"/>
    <w:rsid w:val="3E432AAE"/>
    <w:rsid w:val="3E67460F"/>
    <w:rsid w:val="3E682515"/>
    <w:rsid w:val="3E6B5B61"/>
    <w:rsid w:val="3E7E7642"/>
    <w:rsid w:val="3E962E4E"/>
    <w:rsid w:val="3EA93A1C"/>
    <w:rsid w:val="3EF96623"/>
    <w:rsid w:val="3F0720AC"/>
    <w:rsid w:val="3F0A4526"/>
    <w:rsid w:val="3F226537"/>
    <w:rsid w:val="3F3D5750"/>
    <w:rsid w:val="3F6A406B"/>
    <w:rsid w:val="3FA62817"/>
    <w:rsid w:val="3FB138EF"/>
    <w:rsid w:val="3FB5178A"/>
    <w:rsid w:val="3FB5617C"/>
    <w:rsid w:val="3FC01EDD"/>
    <w:rsid w:val="3FD35A2E"/>
    <w:rsid w:val="3FDD4AC1"/>
    <w:rsid w:val="3FE0432D"/>
    <w:rsid w:val="3FEB5E51"/>
    <w:rsid w:val="3FF2342A"/>
    <w:rsid w:val="40504A57"/>
    <w:rsid w:val="40674054"/>
    <w:rsid w:val="40CE4185"/>
    <w:rsid w:val="40D211A5"/>
    <w:rsid w:val="40EB1D66"/>
    <w:rsid w:val="41032081"/>
    <w:rsid w:val="410858E9"/>
    <w:rsid w:val="412C45A7"/>
    <w:rsid w:val="4157445E"/>
    <w:rsid w:val="41605725"/>
    <w:rsid w:val="41801E32"/>
    <w:rsid w:val="41A32D30"/>
    <w:rsid w:val="41D66512"/>
    <w:rsid w:val="42044303"/>
    <w:rsid w:val="4222148F"/>
    <w:rsid w:val="42442951"/>
    <w:rsid w:val="424A170A"/>
    <w:rsid w:val="42650575"/>
    <w:rsid w:val="426F49B7"/>
    <w:rsid w:val="42743A5F"/>
    <w:rsid w:val="42745406"/>
    <w:rsid w:val="428C0CF8"/>
    <w:rsid w:val="42D31F27"/>
    <w:rsid w:val="42DE0FF8"/>
    <w:rsid w:val="42E3216A"/>
    <w:rsid w:val="42E444CA"/>
    <w:rsid w:val="42E53554"/>
    <w:rsid w:val="42F8373B"/>
    <w:rsid w:val="43080CF1"/>
    <w:rsid w:val="435968D0"/>
    <w:rsid w:val="4364540B"/>
    <w:rsid w:val="43657023"/>
    <w:rsid w:val="43672D9B"/>
    <w:rsid w:val="436C6603"/>
    <w:rsid w:val="43866F99"/>
    <w:rsid w:val="438E0D5C"/>
    <w:rsid w:val="43AC585A"/>
    <w:rsid w:val="43E84655"/>
    <w:rsid w:val="43EF1CD5"/>
    <w:rsid w:val="441D624B"/>
    <w:rsid w:val="44274BAE"/>
    <w:rsid w:val="44676DCB"/>
    <w:rsid w:val="447137A5"/>
    <w:rsid w:val="44731B54"/>
    <w:rsid w:val="44A504D3"/>
    <w:rsid w:val="44B26E1A"/>
    <w:rsid w:val="44EC4671"/>
    <w:rsid w:val="45543336"/>
    <w:rsid w:val="456926CF"/>
    <w:rsid w:val="45970F67"/>
    <w:rsid w:val="45B25774"/>
    <w:rsid w:val="46130D48"/>
    <w:rsid w:val="4651318A"/>
    <w:rsid w:val="465869CB"/>
    <w:rsid w:val="466277F0"/>
    <w:rsid w:val="469905A7"/>
    <w:rsid w:val="46CE3131"/>
    <w:rsid w:val="46E62229"/>
    <w:rsid w:val="47220315"/>
    <w:rsid w:val="474433F3"/>
    <w:rsid w:val="479C6D8B"/>
    <w:rsid w:val="47AA04C8"/>
    <w:rsid w:val="47B562E3"/>
    <w:rsid w:val="481D7ECC"/>
    <w:rsid w:val="483B3A37"/>
    <w:rsid w:val="48673685"/>
    <w:rsid w:val="48A4239B"/>
    <w:rsid w:val="48C14F8A"/>
    <w:rsid w:val="48D766C0"/>
    <w:rsid w:val="490C7F41"/>
    <w:rsid w:val="493D00FA"/>
    <w:rsid w:val="495F27BF"/>
    <w:rsid w:val="4981448B"/>
    <w:rsid w:val="498459E4"/>
    <w:rsid w:val="49FA3A31"/>
    <w:rsid w:val="4A161077"/>
    <w:rsid w:val="4A203CA4"/>
    <w:rsid w:val="4A632FEA"/>
    <w:rsid w:val="4ADC3050"/>
    <w:rsid w:val="4B0519F0"/>
    <w:rsid w:val="4B0C247A"/>
    <w:rsid w:val="4B211FEB"/>
    <w:rsid w:val="4B4B2FA2"/>
    <w:rsid w:val="4B583122"/>
    <w:rsid w:val="4B85213F"/>
    <w:rsid w:val="4BC347F9"/>
    <w:rsid w:val="4BCF3255"/>
    <w:rsid w:val="4BDB7713"/>
    <w:rsid w:val="4BFC604B"/>
    <w:rsid w:val="4C3A6B73"/>
    <w:rsid w:val="4C5B29DC"/>
    <w:rsid w:val="4C5B5C86"/>
    <w:rsid w:val="4C997B78"/>
    <w:rsid w:val="4CB94741"/>
    <w:rsid w:val="4CD97E11"/>
    <w:rsid w:val="4CDF488B"/>
    <w:rsid w:val="4CF02842"/>
    <w:rsid w:val="4CFF4044"/>
    <w:rsid w:val="4D0E4287"/>
    <w:rsid w:val="4D221AE1"/>
    <w:rsid w:val="4D2C2AA8"/>
    <w:rsid w:val="4D2F7564"/>
    <w:rsid w:val="4D454EEE"/>
    <w:rsid w:val="4D603BBE"/>
    <w:rsid w:val="4D637AE8"/>
    <w:rsid w:val="4D6B57EA"/>
    <w:rsid w:val="4D866514"/>
    <w:rsid w:val="4D9C6910"/>
    <w:rsid w:val="4DEA7721"/>
    <w:rsid w:val="4E01203E"/>
    <w:rsid w:val="4E32068B"/>
    <w:rsid w:val="4E5263F6"/>
    <w:rsid w:val="4E537616"/>
    <w:rsid w:val="4E7B3BB7"/>
    <w:rsid w:val="4ED27537"/>
    <w:rsid w:val="4EEA2381"/>
    <w:rsid w:val="4EFB4CDF"/>
    <w:rsid w:val="4F310701"/>
    <w:rsid w:val="4F614B94"/>
    <w:rsid w:val="4FBA24A4"/>
    <w:rsid w:val="4FEB2996"/>
    <w:rsid w:val="4FF80AC8"/>
    <w:rsid w:val="50096F88"/>
    <w:rsid w:val="501829FB"/>
    <w:rsid w:val="501D26ED"/>
    <w:rsid w:val="501E0C85"/>
    <w:rsid w:val="50485D02"/>
    <w:rsid w:val="505521CD"/>
    <w:rsid w:val="50620269"/>
    <w:rsid w:val="50726BE2"/>
    <w:rsid w:val="507A1C34"/>
    <w:rsid w:val="50BC44DA"/>
    <w:rsid w:val="50CD6207"/>
    <w:rsid w:val="50F83BA8"/>
    <w:rsid w:val="50F97F71"/>
    <w:rsid w:val="511E0FEE"/>
    <w:rsid w:val="513D15DF"/>
    <w:rsid w:val="5151508A"/>
    <w:rsid w:val="515204D9"/>
    <w:rsid w:val="51740CC0"/>
    <w:rsid w:val="51CF30C4"/>
    <w:rsid w:val="51D51818"/>
    <w:rsid w:val="51FD35E2"/>
    <w:rsid w:val="52045C59"/>
    <w:rsid w:val="520B5239"/>
    <w:rsid w:val="523522B6"/>
    <w:rsid w:val="525B7AEE"/>
    <w:rsid w:val="525E722E"/>
    <w:rsid w:val="527032EE"/>
    <w:rsid w:val="52946FDD"/>
    <w:rsid w:val="529D63E9"/>
    <w:rsid w:val="52AE626B"/>
    <w:rsid w:val="52BE1C31"/>
    <w:rsid w:val="52F060AA"/>
    <w:rsid w:val="52FA52BF"/>
    <w:rsid w:val="532B0107"/>
    <w:rsid w:val="53370B35"/>
    <w:rsid w:val="53430362"/>
    <w:rsid w:val="53572563"/>
    <w:rsid w:val="53642147"/>
    <w:rsid w:val="53754D13"/>
    <w:rsid w:val="539C2622"/>
    <w:rsid w:val="53A476F3"/>
    <w:rsid w:val="53C34AA9"/>
    <w:rsid w:val="53D0673A"/>
    <w:rsid w:val="53D578AD"/>
    <w:rsid w:val="540D2884"/>
    <w:rsid w:val="545D78A2"/>
    <w:rsid w:val="5470465A"/>
    <w:rsid w:val="548117E3"/>
    <w:rsid w:val="54B16A1E"/>
    <w:rsid w:val="54C90416"/>
    <w:rsid w:val="55197C6D"/>
    <w:rsid w:val="551C7980"/>
    <w:rsid w:val="55236D3E"/>
    <w:rsid w:val="553255F1"/>
    <w:rsid w:val="555A2D36"/>
    <w:rsid w:val="55747599"/>
    <w:rsid w:val="557C3C42"/>
    <w:rsid w:val="55B300C2"/>
    <w:rsid w:val="55BF7038"/>
    <w:rsid w:val="55C951EF"/>
    <w:rsid w:val="55E4027B"/>
    <w:rsid w:val="56084344"/>
    <w:rsid w:val="560C1BEA"/>
    <w:rsid w:val="56111C07"/>
    <w:rsid w:val="561227A5"/>
    <w:rsid w:val="56170651"/>
    <w:rsid w:val="56252C91"/>
    <w:rsid w:val="562C39D0"/>
    <w:rsid w:val="564D4072"/>
    <w:rsid w:val="56570A4D"/>
    <w:rsid w:val="565C0A5B"/>
    <w:rsid w:val="56725887"/>
    <w:rsid w:val="567F61F6"/>
    <w:rsid w:val="56C92580"/>
    <w:rsid w:val="56CA79A0"/>
    <w:rsid w:val="56FE35BF"/>
    <w:rsid w:val="576B0214"/>
    <w:rsid w:val="576D24F2"/>
    <w:rsid w:val="577218B7"/>
    <w:rsid w:val="57A37CC2"/>
    <w:rsid w:val="57DF5F8B"/>
    <w:rsid w:val="58084019"/>
    <w:rsid w:val="580B5F93"/>
    <w:rsid w:val="58194DC9"/>
    <w:rsid w:val="586A6232"/>
    <w:rsid w:val="58902B1E"/>
    <w:rsid w:val="58A43D6F"/>
    <w:rsid w:val="58B8298B"/>
    <w:rsid w:val="58C148A4"/>
    <w:rsid w:val="58E20B05"/>
    <w:rsid w:val="58F05189"/>
    <w:rsid w:val="58F24A5D"/>
    <w:rsid w:val="5900361E"/>
    <w:rsid w:val="59063D4A"/>
    <w:rsid w:val="59181D8C"/>
    <w:rsid w:val="591C5F7E"/>
    <w:rsid w:val="592A069B"/>
    <w:rsid w:val="59492FD6"/>
    <w:rsid w:val="59626A67"/>
    <w:rsid w:val="596C23A1"/>
    <w:rsid w:val="596E3D53"/>
    <w:rsid w:val="5980475F"/>
    <w:rsid w:val="59866350"/>
    <w:rsid w:val="599B6EA3"/>
    <w:rsid w:val="59AF345A"/>
    <w:rsid w:val="59E36A9C"/>
    <w:rsid w:val="59EC5950"/>
    <w:rsid w:val="59FA62BF"/>
    <w:rsid w:val="5A1153B7"/>
    <w:rsid w:val="5A544481"/>
    <w:rsid w:val="5A551748"/>
    <w:rsid w:val="5A555B61"/>
    <w:rsid w:val="5AA61FA3"/>
    <w:rsid w:val="5ADC7773"/>
    <w:rsid w:val="5AE41D72"/>
    <w:rsid w:val="5B885B4D"/>
    <w:rsid w:val="5B921F4F"/>
    <w:rsid w:val="5BC052E6"/>
    <w:rsid w:val="5BDB3ECE"/>
    <w:rsid w:val="5BE014E5"/>
    <w:rsid w:val="5C1A69D6"/>
    <w:rsid w:val="5C5B544B"/>
    <w:rsid w:val="5C736F8B"/>
    <w:rsid w:val="5C800E51"/>
    <w:rsid w:val="5C86208C"/>
    <w:rsid w:val="5C9C3677"/>
    <w:rsid w:val="5CA408A7"/>
    <w:rsid w:val="5CCE5E32"/>
    <w:rsid w:val="5CE7570D"/>
    <w:rsid w:val="5CF04714"/>
    <w:rsid w:val="5D0905C7"/>
    <w:rsid w:val="5D470C70"/>
    <w:rsid w:val="5D494E68"/>
    <w:rsid w:val="5D4A130C"/>
    <w:rsid w:val="5D605503"/>
    <w:rsid w:val="5D9D2640"/>
    <w:rsid w:val="5DAA2D87"/>
    <w:rsid w:val="5DCE07EF"/>
    <w:rsid w:val="5DE329E2"/>
    <w:rsid w:val="5E457D25"/>
    <w:rsid w:val="5E642073"/>
    <w:rsid w:val="5E8545C5"/>
    <w:rsid w:val="5E914D18"/>
    <w:rsid w:val="5E9B5B97"/>
    <w:rsid w:val="5EB43AC9"/>
    <w:rsid w:val="5F026697"/>
    <w:rsid w:val="5F2005C6"/>
    <w:rsid w:val="5F2D33BC"/>
    <w:rsid w:val="5F5101AF"/>
    <w:rsid w:val="5F585836"/>
    <w:rsid w:val="5F662A1E"/>
    <w:rsid w:val="5FB80EB3"/>
    <w:rsid w:val="5FBA3DFB"/>
    <w:rsid w:val="5FE22FDD"/>
    <w:rsid w:val="60114363"/>
    <w:rsid w:val="60142BB8"/>
    <w:rsid w:val="60313330"/>
    <w:rsid w:val="603D64BE"/>
    <w:rsid w:val="6073044A"/>
    <w:rsid w:val="60AC2319"/>
    <w:rsid w:val="60C010B7"/>
    <w:rsid w:val="610A2B60"/>
    <w:rsid w:val="61273712"/>
    <w:rsid w:val="61330309"/>
    <w:rsid w:val="6138591F"/>
    <w:rsid w:val="614216A2"/>
    <w:rsid w:val="615269E1"/>
    <w:rsid w:val="616606D1"/>
    <w:rsid w:val="616A3388"/>
    <w:rsid w:val="617E3A13"/>
    <w:rsid w:val="618723CE"/>
    <w:rsid w:val="618F69CF"/>
    <w:rsid w:val="619D19B3"/>
    <w:rsid w:val="61B551C2"/>
    <w:rsid w:val="620D5A4C"/>
    <w:rsid w:val="6214325B"/>
    <w:rsid w:val="6223212B"/>
    <w:rsid w:val="62341C07"/>
    <w:rsid w:val="62586279"/>
    <w:rsid w:val="62832BCA"/>
    <w:rsid w:val="62A72D5C"/>
    <w:rsid w:val="62B46B49"/>
    <w:rsid w:val="62B66AFB"/>
    <w:rsid w:val="62DF1370"/>
    <w:rsid w:val="630F2669"/>
    <w:rsid w:val="63503096"/>
    <w:rsid w:val="638B7F88"/>
    <w:rsid w:val="63C60FC0"/>
    <w:rsid w:val="63CE5A42"/>
    <w:rsid w:val="63D74F7B"/>
    <w:rsid w:val="640B4517"/>
    <w:rsid w:val="6418674C"/>
    <w:rsid w:val="64204BDA"/>
    <w:rsid w:val="645E38EF"/>
    <w:rsid w:val="64881AC3"/>
    <w:rsid w:val="64891A0F"/>
    <w:rsid w:val="64CB0CDD"/>
    <w:rsid w:val="64D81563"/>
    <w:rsid w:val="65150451"/>
    <w:rsid w:val="65240694"/>
    <w:rsid w:val="652C579B"/>
    <w:rsid w:val="65335C41"/>
    <w:rsid w:val="6558132F"/>
    <w:rsid w:val="6583748A"/>
    <w:rsid w:val="659D21F5"/>
    <w:rsid w:val="65D242C5"/>
    <w:rsid w:val="65F748D9"/>
    <w:rsid w:val="65FB0B36"/>
    <w:rsid w:val="66030C1E"/>
    <w:rsid w:val="660D737A"/>
    <w:rsid w:val="665E47A4"/>
    <w:rsid w:val="66687556"/>
    <w:rsid w:val="66903B07"/>
    <w:rsid w:val="66BA1819"/>
    <w:rsid w:val="66C043ED"/>
    <w:rsid w:val="66D25C29"/>
    <w:rsid w:val="670D1063"/>
    <w:rsid w:val="671773BF"/>
    <w:rsid w:val="6739419F"/>
    <w:rsid w:val="677F20ED"/>
    <w:rsid w:val="67A25996"/>
    <w:rsid w:val="67B37AAD"/>
    <w:rsid w:val="67D91195"/>
    <w:rsid w:val="67FA742D"/>
    <w:rsid w:val="68091DC3"/>
    <w:rsid w:val="68212C69"/>
    <w:rsid w:val="68376930"/>
    <w:rsid w:val="68467C25"/>
    <w:rsid w:val="684828EC"/>
    <w:rsid w:val="685017A0"/>
    <w:rsid w:val="689F6284"/>
    <w:rsid w:val="68AE0C98"/>
    <w:rsid w:val="68B73708"/>
    <w:rsid w:val="68C040C0"/>
    <w:rsid w:val="68E77B6B"/>
    <w:rsid w:val="68F35B16"/>
    <w:rsid w:val="69287CEE"/>
    <w:rsid w:val="693D7F76"/>
    <w:rsid w:val="695B5B89"/>
    <w:rsid w:val="69700463"/>
    <w:rsid w:val="69731BEA"/>
    <w:rsid w:val="6975068F"/>
    <w:rsid w:val="699B700F"/>
    <w:rsid w:val="69AF24F6"/>
    <w:rsid w:val="6A093F05"/>
    <w:rsid w:val="6A187064"/>
    <w:rsid w:val="6A262DA5"/>
    <w:rsid w:val="6A537EE3"/>
    <w:rsid w:val="6A810BC5"/>
    <w:rsid w:val="6AA47B81"/>
    <w:rsid w:val="6ABE62BC"/>
    <w:rsid w:val="6ACE7523"/>
    <w:rsid w:val="6ADD0F28"/>
    <w:rsid w:val="6AF403FB"/>
    <w:rsid w:val="6B1A6C3A"/>
    <w:rsid w:val="6B53216A"/>
    <w:rsid w:val="6BA63207"/>
    <w:rsid w:val="6BD15E6D"/>
    <w:rsid w:val="6BDB56EE"/>
    <w:rsid w:val="6BF30DC0"/>
    <w:rsid w:val="6C183322"/>
    <w:rsid w:val="6C272092"/>
    <w:rsid w:val="6C3D3BAD"/>
    <w:rsid w:val="6C3F1173"/>
    <w:rsid w:val="6C66080E"/>
    <w:rsid w:val="6C75116C"/>
    <w:rsid w:val="6C845EBC"/>
    <w:rsid w:val="6C920694"/>
    <w:rsid w:val="6C960052"/>
    <w:rsid w:val="6CB726AA"/>
    <w:rsid w:val="6CEE4F56"/>
    <w:rsid w:val="6D32233D"/>
    <w:rsid w:val="6D586237"/>
    <w:rsid w:val="6D6F5480"/>
    <w:rsid w:val="6D8F2035"/>
    <w:rsid w:val="6DA305C4"/>
    <w:rsid w:val="6DE97F21"/>
    <w:rsid w:val="6DF652C1"/>
    <w:rsid w:val="6E070B53"/>
    <w:rsid w:val="6E0911EF"/>
    <w:rsid w:val="6E4B4966"/>
    <w:rsid w:val="6E4F2251"/>
    <w:rsid w:val="6E970129"/>
    <w:rsid w:val="6EAD42A0"/>
    <w:rsid w:val="6EC24A7A"/>
    <w:rsid w:val="6EC30F1E"/>
    <w:rsid w:val="6EF4593D"/>
    <w:rsid w:val="6F0D3F47"/>
    <w:rsid w:val="6F2224AF"/>
    <w:rsid w:val="6F40038F"/>
    <w:rsid w:val="6F437969"/>
    <w:rsid w:val="6F51652A"/>
    <w:rsid w:val="6F5C4ECE"/>
    <w:rsid w:val="6F765F90"/>
    <w:rsid w:val="6FB40F38"/>
    <w:rsid w:val="6FC14BE6"/>
    <w:rsid w:val="6FE255E5"/>
    <w:rsid w:val="700102D3"/>
    <w:rsid w:val="70A408DB"/>
    <w:rsid w:val="70BD374B"/>
    <w:rsid w:val="71230730"/>
    <w:rsid w:val="712F5B9B"/>
    <w:rsid w:val="71377D58"/>
    <w:rsid w:val="7179722C"/>
    <w:rsid w:val="71873656"/>
    <w:rsid w:val="71973F9C"/>
    <w:rsid w:val="71B44331"/>
    <w:rsid w:val="71CD20B4"/>
    <w:rsid w:val="720E6BFD"/>
    <w:rsid w:val="721F50B5"/>
    <w:rsid w:val="72267450"/>
    <w:rsid w:val="724578F3"/>
    <w:rsid w:val="729351C7"/>
    <w:rsid w:val="72A471DF"/>
    <w:rsid w:val="72CB53FA"/>
    <w:rsid w:val="73254077"/>
    <w:rsid w:val="734737A0"/>
    <w:rsid w:val="734939BC"/>
    <w:rsid w:val="73597A55"/>
    <w:rsid w:val="73612AB3"/>
    <w:rsid w:val="73682094"/>
    <w:rsid w:val="73834F73"/>
    <w:rsid w:val="73931034"/>
    <w:rsid w:val="739452A9"/>
    <w:rsid w:val="73D615D4"/>
    <w:rsid w:val="73E13BF4"/>
    <w:rsid w:val="73E84F83"/>
    <w:rsid w:val="74087220"/>
    <w:rsid w:val="740F49FF"/>
    <w:rsid w:val="741A09E2"/>
    <w:rsid w:val="742E508B"/>
    <w:rsid w:val="744B0AA6"/>
    <w:rsid w:val="747F33DD"/>
    <w:rsid w:val="74841862"/>
    <w:rsid w:val="74BF6315"/>
    <w:rsid w:val="750658FA"/>
    <w:rsid w:val="750F5887"/>
    <w:rsid w:val="751B4EE4"/>
    <w:rsid w:val="755B7815"/>
    <w:rsid w:val="7581743D"/>
    <w:rsid w:val="75834F63"/>
    <w:rsid w:val="75860393"/>
    <w:rsid w:val="759E3B4B"/>
    <w:rsid w:val="75A41B02"/>
    <w:rsid w:val="75C94940"/>
    <w:rsid w:val="75FC216D"/>
    <w:rsid w:val="762A53DF"/>
    <w:rsid w:val="76361484"/>
    <w:rsid w:val="764C3824"/>
    <w:rsid w:val="764F524D"/>
    <w:rsid w:val="765A47CD"/>
    <w:rsid w:val="767E397C"/>
    <w:rsid w:val="768C42EB"/>
    <w:rsid w:val="76944BF2"/>
    <w:rsid w:val="76AE5798"/>
    <w:rsid w:val="76B57772"/>
    <w:rsid w:val="76BE1E6E"/>
    <w:rsid w:val="76CD0353"/>
    <w:rsid w:val="76E618C8"/>
    <w:rsid w:val="76F3103E"/>
    <w:rsid w:val="76F344E7"/>
    <w:rsid w:val="77071BC4"/>
    <w:rsid w:val="770A19EE"/>
    <w:rsid w:val="77C23359"/>
    <w:rsid w:val="77DF546F"/>
    <w:rsid w:val="77EE57C2"/>
    <w:rsid w:val="780F71B0"/>
    <w:rsid w:val="781108ED"/>
    <w:rsid w:val="781C78A0"/>
    <w:rsid w:val="782C7B34"/>
    <w:rsid w:val="783729C1"/>
    <w:rsid w:val="785564D4"/>
    <w:rsid w:val="78704E06"/>
    <w:rsid w:val="788469DE"/>
    <w:rsid w:val="788C72A6"/>
    <w:rsid w:val="78B21295"/>
    <w:rsid w:val="78C5038C"/>
    <w:rsid w:val="78F66FE4"/>
    <w:rsid w:val="79332FC4"/>
    <w:rsid w:val="79764DDF"/>
    <w:rsid w:val="79FF36AB"/>
    <w:rsid w:val="7A277378"/>
    <w:rsid w:val="7A4C5386"/>
    <w:rsid w:val="7A6621C9"/>
    <w:rsid w:val="7B2A5117"/>
    <w:rsid w:val="7B3665D4"/>
    <w:rsid w:val="7B677D93"/>
    <w:rsid w:val="7B683CD4"/>
    <w:rsid w:val="7B803CF3"/>
    <w:rsid w:val="7B825CBD"/>
    <w:rsid w:val="7B8551C5"/>
    <w:rsid w:val="7B856C46"/>
    <w:rsid w:val="7B8738A3"/>
    <w:rsid w:val="7B973637"/>
    <w:rsid w:val="7BBB7AF7"/>
    <w:rsid w:val="7C4A4A2C"/>
    <w:rsid w:val="7C605FFE"/>
    <w:rsid w:val="7C75137E"/>
    <w:rsid w:val="7C7C095E"/>
    <w:rsid w:val="7C8C479D"/>
    <w:rsid w:val="7C8E3521"/>
    <w:rsid w:val="7C965B7A"/>
    <w:rsid w:val="7C9C2DAE"/>
    <w:rsid w:val="7CA9195E"/>
    <w:rsid w:val="7CBE4AD3"/>
    <w:rsid w:val="7CD14670"/>
    <w:rsid w:val="7CD5012E"/>
    <w:rsid w:val="7CF90BE0"/>
    <w:rsid w:val="7CFC6873"/>
    <w:rsid w:val="7D272678"/>
    <w:rsid w:val="7D3F104A"/>
    <w:rsid w:val="7D4A19AF"/>
    <w:rsid w:val="7D9817C8"/>
    <w:rsid w:val="7DA41F1A"/>
    <w:rsid w:val="7DC80E5B"/>
    <w:rsid w:val="7DD56578"/>
    <w:rsid w:val="7DE71E07"/>
    <w:rsid w:val="7DEC3DB3"/>
    <w:rsid w:val="7E046E5D"/>
    <w:rsid w:val="7E370FE0"/>
    <w:rsid w:val="7E6B6C85"/>
    <w:rsid w:val="7E716AF6"/>
    <w:rsid w:val="7E722019"/>
    <w:rsid w:val="7E90249F"/>
    <w:rsid w:val="7EA47CF8"/>
    <w:rsid w:val="7EAF3BDC"/>
    <w:rsid w:val="7ED176A2"/>
    <w:rsid w:val="7F076C05"/>
    <w:rsid w:val="7F1D4B6C"/>
    <w:rsid w:val="7F3D43D5"/>
    <w:rsid w:val="7F556756"/>
    <w:rsid w:val="7F6B4E3B"/>
    <w:rsid w:val="7F6D27E0"/>
    <w:rsid w:val="7F75406C"/>
    <w:rsid w:val="7F81675D"/>
    <w:rsid w:val="7F8569F2"/>
    <w:rsid w:val="7FA20C39"/>
    <w:rsid w:val="7FFE1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7">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8">
    <w:name w:val="heading 2"/>
    <w:basedOn w:val="9"/>
    <w:next w:val="10"/>
    <w:link w:val="43"/>
    <w:unhideWhenUsed/>
    <w:qFormat/>
    <w:uiPriority w:val="0"/>
    <w:pPr>
      <w:keepNext/>
      <w:keepLines/>
      <w:spacing w:line="360" w:lineRule="auto"/>
      <w:ind w:left="0" w:leftChars="0" w:firstLine="720" w:firstLineChars="200"/>
      <w:outlineLvl w:val="1"/>
    </w:pPr>
    <w:rPr>
      <w:rFonts w:ascii="Times New Roman" w:hAnsi="Times New Roman" w:eastAsia="宋体"/>
      <w:b/>
      <w:sz w:val="24"/>
    </w:rPr>
  </w:style>
  <w:style w:type="paragraph" w:styleId="11">
    <w:name w:val="heading 3"/>
    <w:basedOn w:val="1"/>
    <w:next w:val="1"/>
    <w:unhideWhenUsed/>
    <w:qFormat/>
    <w:uiPriority w:val="0"/>
    <w:pPr>
      <w:keepNext/>
      <w:keepLines/>
      <w:spacing w:beforeLines="0" w:beforeAutospacing="0" w:afterLines="0" w:afterAutospacing="0" w:line="360" w:lineRule="auto"/>
      <w:ind w:firstLine="720" w:firstLineChars="200"/>
      <w:outlineLvl w:val="2"/>
    </w:pPr>
    <w:rPr>
      <w:rFonts w:ascii="Times New Roman" w:hAnsi="Times New Roman" w:eastAsia="宋体"/>
      <w:b/>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widowControl w:val="0"/>
      <w:suppressLineNumbers w:val="0"/>
      <w:spacing w:before="0" w:beforeAutospacing="0" w:after="0" w:afterAutospacing="0" w:line="360" w:lineRule="auto"/>
      <w:ind w:left="0" w:right="0" w:firstLine="560" w:firstLineChars="200"/>
      <w:jc w:val="both"/>
    </w:pPr>
    <w:rPr>
      <w:rFonts w:hint="default" w:ascii="Times New Roman" w:hAnsi="Times New Roman" w:eastAsia="Calibri" w:cs="Times New Roman"/>
      <w:kern w:val="2"/>
      <w:sz w:val="28"/>
      <w:szCs w:val="28"/>
      <w:lang w:val="en-US" w:eastAsia="zh-CN" w:bidi="ar"/>
    </w:rPr>
  </w:style>
  <w:style w:type="paragraph" w:styleId="3">
    <w:name w:val="Body Text First Indent"/>
    <w:basedOn w:val="4"/>
    <w:next w:val="1"/>
    <w:qFormat/>
    <w:uiPriority w:val="0"/>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8"/>
      <w:szCs w:val="28"/>
      <w:lang w:val="en-US" w:eastAsia="zh-CN" w:bidi="ar"/>
    </w:rPr>
  </w:style>
  <w:style w:type="paragraph" w:styleId="4">
    <w:name w:val="Body Text"/>
    <w:basedOn w:val="1"/>
    <w:next w:val="5"/>
    <w:qFormat/>
    <w:uiPriority w:val="0"/>
    <w:pPr>
      <w:widowControl/>
      <w:snapToGrid w:val="0"/>
      <w:spacing w:before="60" w:after="160" w:line="259" w:lineRule="auto"/>
      <w:ind w:right="113"/>
    </w:pPr>
    <w:rPr>
      <w:kern w:val="0"/>
      <w:sz w:val="18"/>
      <w:szCs w:val="20"/>
    </w:rPr>
  </w:style>
  <w:style w:type="paragraph" w:customStyle="1" w:styleId="5">
    <w:name w:val="Normal (Web)1"/>
    <w:basedOn w:val="1"/>
    <w:next w:val="6"/>
    <w:autoRedefine/>
    <w:unhideWhenUsed/>
    <w:qFormat/>
    <w:uiPriority w:val="0"/>
    <w:pPr>
      <w:widowControl/>
      <w:spacing w:beforeLines="0" w:afterLines="0"/>
    </w:pPr>
    <w:rPr>
      <w:rFonts w:hint="eastAsia" w:ascii="宋体" w:hAnsi="Times New Roman" w:eastAsia="宋体"/>
      <w:sz w:val="24"/>
    </w:rPr>
  </w:style>
  <w:style w:type="paragraph" w:customStyle="1" w:styleId="6">
    <w:name w:val="Date1"/>
    <w:basedOn w:val="1"/>
    <w:next w:val="1"/>
    <w:autoRedefine/>
    <w:unhideWhenUsed/>
    <w:qFormat/>
    <w:uiPriority w:val="0"/>
    <w:pPr>
      <w:adjustRightInd w:val="0"/>
      <w:spacing w:beforeLines="0" w:afterLines="0"/>
    </w:pPr>
    <w:rPr>
      <w:rFonts w:hint="default"/>
      <w:sz w:val="21"/>
    </w:rPr>
  </w:style>
  <w:style w:type="paragraph" w:styleId="9">
    <w:name w:val="table of figures"/>
    <w:basedOn w:val="1"/>
    <w:next w:val="1"/>
    <w:unhideWhenUsed/>
    <w:qFormat/>
    <w:uiPriority w:val="99"/>
    <w:pPr>
      <w:spacing w:beforeLines="0" w:afterLines="0"/>
      <w:ind w:leftChars="200" w:hanging="200" w:hangingChars="200"/>
    </w:pPr>
    <w:rPr>
      <w:rFonts w:hint="eastAsia"/>
      <w:sz w:val="21"/>
    </w:rPr>
  </w:style>
  <w:style w:type="paragraph" w:styleId="10">
    <w:name w:val="Plain Text"/>
    <w:basedOn w:val="1"/>
    <w:unhideWhenUsed/>
    <w:qFormat/>
    <w:uiPriority w:val="0"/>
    <w:pPr>
      <w:spacing w:beforeLines="0" w:afterLines="0"/>
    </w:pPr>
    <w:rPr>
      <w:rFonts w:hint="eastAsia" w:ascii="宋体" w:hAnsi="Courier New" w:eastAsia="宋体"/>
      <w:sz w:val="21"/>
    </w:rPr>
  </w:style>
  <w:style w:type="paragraph" w:styleId="12">
    <w:name w:val="Normal Indent"/>
    <w:basedOn w:val="1"/>
    <w:next w:val="1"/>
    <w:qFormat/>
    <w:uiPriority w:val="0"/>
    <w:pPr>
      <w:ind w:firstLine="420"/>
    </w:pPr>
  </w:style>
  <w:style w:type="paragraph" w:styleId="13">
    <w:name w:val="annotation text"/>
    <w:basedOn w:val="1"/>
    <w:unhideWhenUsed/>
    <w:qFormat/>
    <w:uiPriority w:val="99"/>
    <w:pPr>
      <w:jc w:val="left"/>
    </w:pPr>
  </w:style>
  <w:style w:type="paragraph" w:styleId="14">
    <w:name w:val="Salutation"/>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5">
    <w:name w:val="Body Text Indent"/>
    <w:basedOn w:val="1"/>
    <w:next w:val="16"/>
    <w:qFormat/>
    <w:uiPriority w:val="0"/>
    <w:pPr>
      <w:spacing w:after="120"/>
      <w:ind w:left="420" w:leftChars="200"/>
    </w:pPr>
    <w:rPr>
      <w:kern w:val="0"/>
      <w:sz w:val="24"/>
      <w:szCs w:val="20"/>
    </w:rPr>
  </w:style>
  <w:style w:type="paragraph" w:customStyle="1" w:styleId="16">
    <w:name w:val="样式 标题 1一级标题 + 段前: 0.5 行 段后: 0.5 行"/>
    <w:basedOn w:val="7"/>
    <w:qFormat/>
    <w:uiPriority w:val="99"/>
    <w:pPr>
      <w:tabs>
        <w:tab w:val="left" w:pos="4425"/>
      </w:tabs>
      <w:spacing w:line="320" w:lineRule="exact"/>
      <w:outlineLvl w:val="9"/>
    </w:pPr>
    <w:rPr>
      <w:spacing w:val="-6"/>
      <w:sz w:val="21"/>
      <w:szCs w:val="21"/>
    </w:rPr>
  </w:style>
  <w:style w:type="paragraph" w:styleId="17">
    <w:name w:val="footer"/>
    <w:basedOn w:val="1"/>
    <w:next w:val="1"/>
    <w:qFormat/>
    <w:uiPriority w:val="99"/>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Calibri" w:cs="Times New Roman"/>
      <w:kern w:val="2"/>
      <w:sz w:val="18"/>
      <w:szCs w:val="18"/>
      <w:lang w:val="en-US" w:eastAsia="zh-CN" w:bidi="ar"/>
    </w:rPr>
  </w:style>
  <w:style w:type="paragraph" w:styleId="18">
    <w:name w:val="header"/>
    <w:basedOn w:val="1"/>
    <w:next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9">
    <w:name w:val="样式5"/>
    <w:basedOn w:val="12"/>
    <w:autoRedefine/>
    <w:qFormat/>
    <w:uiPriority w:val="0"/>
    <w:pPr>
      <w:pBdr>
        <w:top w:val="single" w:color="auto" w:sz="4" w:space="1"/>
      </w:pBdr>
      <w:tabs>
        <w:tab w:val="center" w:pos="4153"/>
        <w:tab w:val="right" w:pos="8306"/>
      </w:tabs>
      <w:ind w:right="360"/>
    </w:pPr>
  </w:style>
  <w:style w:type="paragraph" w:styleId="20">
    <w:name w:val="List"/>
    <w:basedOn w:val="1"/>
    <w:qFormat/>
    <w:uiPriority w:val="0"/>
    <w:pPr>
      <w:spacing w:line="240" w:lineRule="auto"/>
      <w:ind w:firstLine="0" w:firstLineChars="0"/>
      <w:jc w:val="center"/>
    </w:pPr>
    <w:rPr>
      <w:rFonts w:ascii="Times New Roman" w:hAnsi="Times New Roman" w:eastAsia="黑体"/>
      <w:sz w:val="21"/>
    </w:rPr>
  </w:style>
  <w:style w:type="paragraph" w:styleId="21">
    <w:name w:val="Body Text 2"/>
    <w:basedOn w:val="1"/>
    <w:qFormat/>
    <w:uiPriority w:val="0"/>
    <w:pPr>
      <w:spacing w:line="312" w:lineRule="auto"/>
    </w:pPr>
    <w:rPr>
      <w:rFonts w:ascii="宋体"/>
      <w:sz w:val="28"/>
    </w:rPr>
  </w:style>
  <w:style w:type="paragraph" w:styleId="22">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3">
    <w:name w:val="Body Text First Indent 2"/>
    <w:basedOn w:val="15"/>
    <w:next w:val="1"/>
    <w:qFormat/>
    <w:uiPriority w:val="0"/>
    <w:pPr>
      <w:suppressLineNumbers w:val="0"/>
      <w:tabs>
        <w:tab w:val="left" w:pos="7500"/>
      </w:tabs>
      <w:spacing w:afterLines="0"/>
      <w:ind w:left="420" w:leftChars="200" w:firstLine="420" w:firstLineChars="200"/>
    </w:pPr>
    <w:rPr>
      <w:rFonts w:ascii="Times New Roman" w:hAnsi="Times New Roman" w:eastAsia="宋体"/>
      <w:sz w:val="24"/>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b/>
    </w:rPr>
  </w:style>
  <w:style w:type="paragraph" w:customStyle="1" w:styleId="28">
    <w:name w:val="表格标题"/>
    <w:basedOn w:val="1"/>
    <w:link w:val="39"/>
    <w:qFormat/>
    <w:uiPriority w:val="0"/>
    <w:pPr>
      <w:spacing w:line="240" w:lineRule="auto"/>
      <w:ind w:firstLine="0" w:firstLineChars="0"/>
      <w:jc w:val="center"/>
    </w:pPr>
    <w:rPr>
      <w:rFonts w:hint="eastAsia" w:ascii="Times New Roman" w:hAnsi="Times New Roman" w:eastAsia="黑体"/>
      <w:bCs/>
      <w:kern w:val="10"/>
      <w:sz w:val="21"/>
      <w:szCs w:val="21"/>
      <w:lang w:val="zh-CN"/>
    </w:rPr>
  </w:style>
  <w:style w:type="paragraph" w:customStyle="1" w:styleId="29">
    <w:name w:val="正本文字"/>
    <w:basedOn w:val="30"/>
    <w:autoRedefine/>
    <w:qFormat/>
    <w:uiPriority w:val="0"/>
    <w:pPr>
      <w:adjustRightInd w:val="0"/>
      <w:snapToGrid w:val="0"/>
      <w:spacing w:line="360" w:lineRule="auto"/>
      <w:ind w:firstLine="200" w:firstLineChars="200"/>
      <w:jc w:val="left"/>
    </w:pPr>
    <w:rPr>
      <w:rFonts w:cs="宋体"/>
      <w:kern w:val="18"/>
      <w:sz w:val="24"/>
      <w:szCs w:val="20"/>
    </w:rPr>
  </w:style>
  <w:style w:type="paragraph" w:customStyle="1" w:styleId="30">
    <w:name w:val="正文1"/>
    <w:basedOn w:val="4"/>
    <w:next w:val="29"/>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31">
    <w:name w:val="_Style 4"/>
    <w:basedOn w:val="1"/>
    <w:autoRedefine/>
    <w:qFormat/>
    <w:uiPriority w:val="0"/>
    <w:rPr>
      <w:rFonts w:eastAsia="仿宋_GB2312"/>
      <w:sz w:val="24"/>
    </w:rPr>
  </w:style>
  <w:style w:type="paragraph" w:customStyle="1" w:styleId="32">
    <w:name w:val="样式 小四 行距: 1.5 倍行距"/>
    <w:basedOn w:val="1"/>
    <w:autoRedefine/>
    <w:qFormat/>
    <w:uiPriority w:val="0"/>
    <w:pPr>
      <w:spacing w:line="360" w:lineRule="auto"/>
      <w:ind w:firstLine="480" w:firstLineChars="200"/>
    </w:pPr>
    <w:rPr>
      <w:sz w:val="24"/>
      <w:szCs w:val="20"/>
    </w:rPr>
  </w:style>
  <w:style w:type="paragraph" w:customStyle="1" w:styleId="33">
    <w:name w:val="toc 75"/>
    <w:next w:val="1"/>
    <w:autoRedefine/>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4">
    <w:name w:val="0正文"/>
    <w:basedOn w:val="15"/>
    <w:next w:val="1"/>
    <w:qFormat/>
    <w:uiPriority w:val="0"/>
    <w:pPr>
      <w:spacing w:line="360" w:lineRule="auto"/>
      <w:ind w:firstLine="720" w:firstLineChars="200"/>
    </w:pPr>
    <w:rPr>
      <w:szCs w:val="22"/>
    </w:rPr>
  </w:style>
  <w:style w:type="paragraph" w:customStyle="1" w:styleId="35">
    <w:name w:val="0表格文字"/>
    <w:basedOn w:val="1"/>
    <w:next w:val="1"/>
    <w:autoRedefine/>
    <w:qFormat/>
    <w:uiPriority w:val="0"/>
    <w:pPr>
      <w:tabs>
        <w:tab w:val="left" w:pos="2340"/>
      </w:tabs>
      <w:snapToGrid w:val="0"/>
      <w:jc w:val="center"/>
    </w:pPr>
    <w:rPr>
      <w:bCs/>
      <w:snapToGrid w:val="0"/>
      <w:color w:val="000000"/>
      <w:kern w:val="0"/>
      <w:szCs w:val="21"/>
      <w:lang w:val="zh-CN"/>
    </w:rPr>
  </w:style>
  <w:style w:type="paragraph" w:customStyle="1" w:styleId="36">
    <w:name w:val="报告表正文"/>
    <w:basedOn w:val="1"/>
    <w:autoRedefine/>
    <w:qFormat/>
    <w:uiPriority w:val="0"/>
    <w:pPr>
      <w:adjustRightInd w:val="0"/>
      <w:spacing w:line="312" w:lineRule="auto"/>
      <w:ind w:left="113" w:right="113" w:firstLine="482"/>
      <w:jc w:val="left"/>
      <w:textAlignment w:val="baseline"/>
    </w:pPr>
    <w:rPr>
      <w:kern w:val="0"/>
      <w:sz w:val="24"/>
      <w:szCs w:val="20"/>
    </w:rPr>
  </w:style>
  <w:style w:type="paragraph" w:customStyle="1" w:styleId="37">
    <w:name w:val="Table Paragraph"/>
    <w:basedOn w:val="1"/>
    <w:autoRedefine/>
    <w:qFormat/>
    <w:uiPriority w:val="1"/>
    <w:rPr>
      <w:rFonts w:ascii="宋体" w:hAnsi="宋体" w:cs="宋体"/>
      <w:lang w:val="zh-CN" w:bidi="zh-CN"/>
    </w:rPr>
  </w:style>
  <w:style w:type="paragraph" w:customStyle="1" w:styleId="38">
    <w:name w:val="列出段落1"/>
    <w:basedOn w:val="1"/>
    <w:autoRedefine/>
    <w:qFormat/>
    <w:uiPriority w:val="99"/>
    <w:pPr>
      <w:spacing w:line="440" w:lineRule="exact"/>
      <w:ind w:firstLine="420" w:firstLineChars="200"/>
    </w:pPr>
    <w:rPr>
      <w:sz w:val="24"/>
    </w:rPr>
  </w:style>
  <w:style w:type="character" w:customStyle="1" w:styleId="39">
    <w:name w:val="表格标题 Char"/>
    <w:link w:val="28"/>
    <w:autoRedefine/>
    <w:qFormat/>
    <w:uiPriority w:val="0"/>
    <w:rPr>
      <w:rFonts w:hint="eastAsia" w:ascii="Times New Roman" w:hAnsi="Times New Roman" w:eastAsia="黑体"/>
      <w:bCs/>
      <w:kern w:val="10"/>
      <w:sz w:val="21"/>
      <w:szCs w:val="21"/>
      <w:lang w:val="zh-CN"/>
    </w:rPr>
  </w:style>
  <w:style w:type="paragraph" w:customStyle="1" w:styleId="40">
    <w:name w:val="3博创正文"/>
    <w:basedOn w:val="1"/>
    <w:unhideWhenUsed/>
    <w:qFormat/>
    <w:uiPriority w:val="0"/>
    <w:pPr>
      <w:adjustRightInd w:val="0"/>
      <w:snapToGrid w:val="0"/>
      <w:ind w:firstLine="720" w:firstLineChars="200"/>
      <w:jc w:val="both"/>
    </w:pPr>
    <w:rPr>
      <w:rFonts w:ascii="Times New Roman" w:hAnsi="Times New Roman"/>
    </w:rPr>
  </w:style>
  <w:style w:type="paragraph" w:customStyle="1" w:styleId="41">
    <w:name w:val="4博创表格"/>
    <w:basedOn w:val="1"/>
    <w:unhideWhenUsed/>
    <w:qFormat/>
    <w:uiPriority w:val="0"/>
    <w:pPr>
      <w:spacing w:line="240" w:lineRule="auto"/>
      <w:ind w:firstLine="0" w:firstLineChars="0"/>
      <w:jc w:val="center"/>
    </w:pPr>
    <w:rPr>
      <w:rFonts w:ascii="Times New Roman" w:hAnsi="Times New Roman" w:eastAsia="宋体"/>
    </w:rPr>
  </w:style>
  <w:style w:type="paragraph" w:customStyle="1" w:styleId="42">
    <w:name w:val="1博创正文"/>
    <w:basedOn w:val="1"/>
    <w:qFormat/>
    <w:uiPriority w:val="0"/>
    <w:pPr>
      <w:spacing w:line="360" w:lineRule="auto"/>
      <w:ind w:firstLine="883" w:firstLineChars="200"/>
    </w:pPr>
    <w:rPr>
      <w:rFonts w:ascii="Times New Roman" w:hAnsi="Times New Roman" w:eastAsia="宋体" w:cs="Times New Roman"/>
      <w:sz w:val="24"/>
      <w:szCs w:val="24"/>
    </w:rPr>
  </w:style>
  <w:style w:type="character" w:customStyle="1" w:styleId="43">
    <w:name w:val="标题 2 Char"/>
    <w:link w:val="8"/>
    <w:qFormat/>
    <w:uiPriority w:val="0"/>
    <w:rPr>
      <w:rFonts w:ascii="Times New Roman" w:hAnsi="Times New Roman" w:eastAsia="宋体"/>
      <w:b/>
      <w:sz w:val="24"/>
    </w:rPr>
  </w:style>
  <w:style w:type="paragraph" w:customStyle="1" w:styleId="44">
    <w:name w:val="表格"/>
    <w:basedOn w:val="20"/>
    <w:next w:val="1"/>
    <w:autoRedefine/>
    <w:qFormat/>
    <w:uiPriority w:val="0"/>
    <w:pPr>
      <w:adjustRightInd w:val="0"/>
      <w:snapToGrid w:val="0"/>
      <w:spacing w:beforeLines="10" w:afterLines="10" w:line="259" w:lineRule="auto"/>
      <w:jc w:val="center"/>
    </w:pPr>
    <w:rPr>
      <w:rFonts w:ascii="宋体"/>
      <w:kern w:val="0"/>
      <w:szCs w:val="20"/>
    </w:rPr>
  </w:style>
  <w:style w:type="character" w:customStyle="1" w:styleId="45">
    <w:name w:val="NormalCharacter"/>
    <w:semiHidden/>
    <w:qFormat/>
    <w:uiPriority w:val="0"/>
    <w:rPr>
      <w:kern w:val="2"/>
      <w:sz w:val="21"/>
      <w:szCs w:val="22"/>
      <w:lang w:val="en-US" w:eastAsia="zh-CN" w:bidi="ar-SA"/>
    </w:rPr>
  </w:style>
  <w:style w:type="paragraph" w:styleId="46">
    <w:name w:val="List Paragraph"/>
    <w:basedOn w:val="1"/>
    <w:qFormat/>
    <w:uiPriority w:val="0"/>
    <w:pPr>
      <w:ind w:firstLine="420" w:firstLineChars="200"/>
    </w:pPr>
    <w:rPr>
      <w:rFonts w:ascii="Calibri" w:hAnsi="Calibri"/>
      <w:szCs w:val="22"/>
    </w:rPr>
  </w:style>
  <w:style w:type="character" w:customStyle="1" w:styleId="47">
    <w:name w:val="标题 3 Char3"/>
    <w:qFormat/>
    <w:uiPriority w:val="0"/>
    <w:rPr>
      <w:rFonts w:ascii="宋体" w:hAnsi="宋体" w:eastAsia="宋体"/>
      <w:color w:val="000000"/>
      <w:kern w:val="2"/>
      <w:sz w:val="28"/>
      <w:lang w:val="en-US" w:eastAsia="zh-CN" w:bidi="ar-SA"/>
    </w:rPr>
  </w:style>
  <w:style w:type="table" w:customStyle="1" w:styleId="48">
    <w:name w:val="Table Normal"/>
    <w:autoRedefine/>
    <w:semiHidden/>
    <w:qFormat/>
    <w:uiPriority w:val="2"/>
    <w:pPr>
      <w:widowControl w:val="0"/>
      <w:autoSpaceDE w:val="0"/>
      <w:autoSpaceDN w:val="0"/>
    </w:pPr>
    <w:rPr>
      <w:rFonts w:eastAsia="Times New Roman" w:asciiTheme="minorHAnsi" w:hAnsiTheme="minorHAnsi" w:cstheme="minorBidi"/>
      <w:sz w:val="22"/>
      <w:szCs w:val="22"/>
      <w:lang w:eastAsia="en-US"/>
    </w:rPr>
    <w:tblPr>
      <w:tblCellMar>
        <w:top w:w="0" w:type="dxa"/>
        <w:left w:w="0" w:type="dxa"/>
        <w:bottom w:w="0" w:type="dxa"/>
        <w:right w:w="0" w:type="dxa"/>
      </w:tblCellMar>
    </w:tblPr>
  </w:style>
  <w:style w:type="paragraph" w:customStyle="1" w:styleId="49">
    <w:name w:val="xl27"/>
    <w:basedOn w:val="1"/>
    <w:next w:val="2"/>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eastAsia="Arial Unicode MS"/>
      <w:kern w:val="0"/>
      <w:sz w:val="24"/>
    </w:rPr>
  </w:style>
  <w:style w:type="paragraph" w:customStyle="1" w:styleId="50">
    <w:name w:val="日月湖表格样式"/>
    <w:qFormat/>
    <w:uiPriority w:val="0"/>
    <w:pPr>
      <w:adjustRightInd w:val="0"/>
      <w:snapToGrid w:val="0"/>
      <w:jc w:val="center"/>
    </w:pPr>
    <w:rPr>
      <w:rFonts w:ascii="Times New Roman" w:hAnsi="Times New Roman" w:eastAsia="宋体" w:cs="Times New Roman"/>
      <w:bCs/>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22758</Words>
  <Characters>25821</Characters>
  <Lines>0</Lines>
  <Paragraphs>0</Paragraphs>
  <TotalTime>200</TotalTime>
  <ScaleCrop>false</ScaleCrop>
  <LinksUpToDate>false</LinksUpToDate>
  <CharactersWithSpaces>25952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2025-11-13T00:46:00Z</dcterms:created>
  <dc:creator>yy</dc:creator>
  <cp:lastModifiedBy>乐高</cp:lastModifiedBy>
  <cp:lastPrinted>2025-12-04T05:27:00Z</cp:lastPrinted>
  <dcterms:modified xsi:type="dcterms:W3CDTF">2026-05-27T08:40:48Z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F77BC89E89BC4A39807860D012003EB8_13</vt:lpwstr>
  </property>
  <property fmtid="{D5CDD505-2E9C-101B-9397-08002B2CF9AE}" pid="4" name="KSOTemplateDocerSaveRecord">
    <vt:lpwstr>eyJoZGlkIjoiYTBlOTliNjViOTllZTU4NWY3ZDU5ZGFhODA4Y2UwYjAiLCJ1c2VySWQiOiIxNjQ5NjMwMzUzIn0=</vt:lpwstr>
  </property>
</Properties>
</file>