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B181F5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imes New Roman" w:hAnsi="Times New Roman" w:eastAsia="黑体" w:cs="黑体"/>
          <w:sz w:val="44"/>
          <w:szCs w:val="44"/>
        </w:rPr>
      </w:pPr>
      <w:r>
        <w:rPr>
          <w:rFonts w:hint="eastAsia" w:ascii="Times New Roman" w:hAnsi="Times New Roman" w:eastAsia="黑体" w:cs="黑体"/>
          <w:sz w:val="44"/>
          <w:szCs w:val="44"/>
        </w:rPr>
        <w:t>高新区202</w:t>
      </w:r>
      <w:r>
        <w:rPr>
          <w:rFonts w:hint="eastAsia" w:ascii="Times New Roman" w:hAnsi="Times New Roman" w:eastAsia="黑体" w:cs="黑体"/>
          <w:sz w:val="44"/>
          <w:szCs w:val="44"/>
          <w:lang w:val="en-US" w:eastAsia="zh-CN"/>
        </w:rPr>
        <w:t>4</w:t>
      </w:r>
      <w:r>
        <w:rPr>
          <w:rFonts w:hint="eastAsia" w:ascii="Times New Roman" w:hAnsi="Times New Roman" w:eastAsia="黑体" w:cs="黑体"/>
          <w:sz w:val="44"/>
          <w:szCs w:val="44"/>
        </w:rPr>
        <w:t>年预算绩效工作开展情况</w:t>
      </w:r>
    </w:p>
    <w:p w14:paraId="478C70C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黑体" w:cs="黑体"/>
          <w:sz w:val="32"/>
          <w:szCs w:val="32"/>
          <w:lang w:val="en-US" w:eastAsia="zh-CN"/>
        </w:rPr>
      </w:pPr>
      <w:r>
        <w:rPr>
          <w:rFonts w:hint="eastAsia" w:ascii="Times New Roman" w:hAnsi="Times New Roman" w:eastAsia="仿宋" w:cs="仿宋"/>
          <w:sz w:val="32"/>
          <w:szCs w:val="32"/>
          <w:lang w:val="en-US" w:eastAsia="zh-CN"/>
        </w:rPr>
        <w:t>2024年，高新区深入贯彻落实上级关于全面实施预算绩效管理的决策部署，锚定构建全方位、全过程、全覆盖预算绩效管理体系的核心目标，系统谋划、统筹推进预算绩效各项工作，持续提升财政资源配置效率与使用效益，为高新区经济社会高质量发展筑牢坚实财政保障。具体工作开展情况如下：</w:t>
      </w:r>
    </w:p>
    <w:p w14:paraId="71DB388D">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textAlignment w:val="auto"/>
        <w:rPr>
          <w:rFonts w:hint="default" w:ascii="Times New Roman" w:hAnsi="Times New Roman" w:eastAsia="黑体" w:cs="黑体"/>
          <w:sz w:val="32"/>
          <w:szCs w:val="32"/>
          <w:lang w:val="en-US" w:eastAsia="zh-CN"/>
        </w:rPr>
      </w:pPr>
      <w:r>
        <w:rPr>
          <w:rFonts w:hint="eastAsia" w:ascii="Times New Roman" w:hAnsi="Times New Roman" w:eastAsia="黑体" w:cs="黑体"/>
          <w:sz w:val="32"/>
          <w:szCs w:val="32"/>
          <w:lang w:val="en-US" w:eastAsia="zh-CN"/>
        </w:rPr>
        <w:t>一、绩效工作开展情况</w:t>
      </w:r>
    </w:p>
    <w:p w14:paraId="56B722CF">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 w:cs="仿宋"/>
          <w:sz w:val="32"/>
          <w:szCs w:val="32"/>
          <w:lang w:val="en-US" w:eastAsia="zh-CN"/>
        </w:rPr>
      </w:pPr>
      <w:r>
        <w:rPr>
          <w:rFonts w:hint="eastAsia" w:ascii="Times New Roman" w:hAnsi="Times New Roman" w:eastAsia="楷体" w:cs="楷体"/>
          <w:b/>
          <w:bCs/>
          <w:sz w:val="32"/>
          <w:szCs w:val="32"/>
          <w:lang w:val="en-US" w:eastAsia="zh-CN"/>
        </w:rPr>
        <w:t>（一）自评抽审，夯实绩效评价基础</w:t>
      </w:r>
    </w:p>
    <w:p w14:paraId="524B358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 w:cs="仿宋"/>
          <w:sz w:val="32"/>
          <w:szCs w:val="32"/>
          <w:lang w:val="en-US" w:eastAsia="zh-CN"/>
        </w:rPr>
      </w:pPr>
      <w:r>
        <w:rPr>
          <w:rFonts w:hint="eastAsia" w:ascii="Times New Roman" w:hAnsi="Times New Roman" w:eastAsia="仿宋" w:cs="仿宋"/>
          <w:sz w:val="32"/>
          <w:szCs w:val="32"/>
          <w:lang w:val="en-US" w:eastAsia="zh-CN"/>
        </w:rPr>
        <w:t>扎实开展区级预算项目支出绩效自评抽审工作，聚焦79个预算项目及2个重点部门2024年度绩效自评结果，采取线上抽审的方式，对项目支出的真实性、合规性和效益性进行全面核验。本次抽审涉及项目执行金额达86,639.98万元，经统计核算，项目平均预算执行率达84.17%。通过自评抽审，不仅有效规范了项目单位绩效自评行为，更全面掌握了预算项目资金使用成效与存在问题，为后续优化资金配置、提升项目管理水平奠定坚实基础。</w:t>
      </w:r>
    </w:p>
    <w:p w14:paraId="67B8228D">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Times New Roman" w:hAnsi="Times New Roman" w:eastAsia="仿宋" w:cs="仿宋"/>
          <w:sz w:val="32"/>
          <w:szCs w:val="32"/>
          <w:lang w:val="en-US" w:eastAsia="zh-CN"/>
        </w:rPr>
      </w:pPr>
      <w:r>
        <w:rPr>
          <w:rFonts w:hint="eastAsia" w:ascii="Times New Roman" w:hAnsi="Times New Roman" w:eastAsia="楷体" w:cs="楷体"/>
          <w:b/>
          <w:bCs/>
          <w:sz w:val="32"/>
          <w:szCs w:val="32"/>
          <w:lang w:val="en-US" w:eastAsia="zh-CN"/>
        </w:rPr>
        <w:t>（二）绩效监控，动态掌握目标推进进度</w:t>
      </w:r>
    </w:p>
    <w:p w14:paraId="177E73A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 w:cs="仿宋"/>
          <w:sz w:val="32"/>
          <w:szCs w:val="32"/>
          <w:lang w:val="en-US" w:eastAsia="zh-CN"/>
        </w:rPr>
      </w:pPr>
      <w:r>
        <w:rPr>
          <w:rFonts w:hint="eastAsia" w:ascii="Times New Roman" w:hAnsi="Times New Roman" w:eastAsia="仿宋" w:cs="仿宋"/>
          <w:sz w:val="32"/>
          <w:szCs w:val="32"/>
          <w:lang w:val="en-US" w:eastAsia="zh-CN"/>
        </w:rPr>
        <w:t>建立“日常跟踪+季度核验”常态化绩效监控机制，依托预算管理一体化平台台账数据，将2025年1—8月绩效目标完成进度、预算资金执行情况及重大政策项目实施效果列为核心跟踪内容，重点围绕资金拨付进度、实际支出占比、项目产出达标率等关键指标开展全流程动态监控。监控范围精准覆盖2个部门（单位）整体绩效目标及138个项目绩效目标完成情况，同步跟进对应预算执行进度。对监控过程中发现的进度滞后、指标偏离等问题，第一时间启动预警机制，督促责任单位制定整改方案、明确整改时限，以闭环管理切实保障预算资金使用效益，推动绩效目标稳步落地。</w:t>
      </w:r>
    </w:p>
    <w:p w14:paraId="1DCA7494">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Times New Roman" w:hAnsi="Times New Roman" w:eastAsia="楷体" w:cs="楷体"/>
          <w:b/>
          <w:bCs/>
          <w:sz w:val="32"/>
          <w:szCs w:val="32"/>
          <w:lang w:val="en-US" w:eastAsia="zh-CN"/>
        </w:rPr>
      </w:pPr>
      <w:r>
        <w:rPr>
          <w:rFonts w:hint="eastAsia" w:ascii="Times New Roman" w:hAnsi="Times New Roman" w:eastAsia="楷体" w:cs="楷体"/>
          <w:b/>
          <w:bCs/>
          <w:sz w:val="32"/>
          <w:szCs w:val="32"/>
          <w:lang w:val="en-US" w:eastAsia="zh-CN"/>
        </w:rPr>
        <w:t>（三）重点评价，聚焦关键领域提质增效</w:t>
      </w:r>
    </w:p>
    <w:p w14:paraId="297A493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 w:cs="仿宋"/>
          <w:sz w:val="32"/>
          <w:szCs w:val="32"/>
          <w:lang w:val="en-US" w:eastAsia="zh-CN"/>
        </w:rPr>
      </w:pPr>
      <w:r>
        <w:rPr>
          <w:rFonts w:hint="eastAsia" w:ascii="Times New Roman" w:hAnsi="Times New Roman" w:eastAsia="仿宋" w:cs="仿宋"/>
          <w:sz w:val="32"/>
          <w:szCs w:val="32"/>
          <w:lang w:val="en-US" w:eastAsia="zh-CN"/>
        </w:rPr>
        <w:t>聚焦关键领域和重点项目，精准选取科技型企业补助费项目和人才专项项目开展绩效重点评价工作。重点评价以项目决策科学性、资金管理规范性、政策落实精准性、社会效益可持续性为核心，通过查阅资料、实地调研、座谈访谈等方式，全面剖析项目实施成效与短板不足。同时，结合项目特点建立针对性评价指标体系，量化评估项目对科技型企业发展的支撑作用和人才引育留用的实际效果，为优化专项政策、提升资金配置精准度提供有力的决策依据。</w:t>
      </w:r>
    </w:p>
    <w:p w14:paraId="7D030EC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 w:cs="仿宋"/>
          <w:sz w:val="32"/>
          <w:szCs w:val="32"/>
          <w:lang w:val="en-US" w:eastAsia="zh-CN"/>
        </w:rPr>
      </w:pPr>
      <w:r>
        <w:rPr>
          <w:rFonts w:hint="eastAsia" w:ascii="Times New Roman" w:hAnsi="Times New Roman" w:eastAsia="黑体" w:cs="黑体"/>
          <w:sz w:val="32"/>
          <w:szCs w:val="32"/>
          <w:lang w:val="en-US" w:eastAsia="zh-CN"/>
        </w:rPr>
        <w:t>二、绩效管理工作存在的问题</w:t>
      </w:r>
    </w:p>
    <w:p w14:paraId="21AD1D5F">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Times New Roman" w:hAnsi="Times New Roman" w:eastAsia="仿宋" w:cs="仿宋"/>
          <w:sz w:val="32"/>
          <w:szCs w:val="32"/>
          <w:lang w:val="en-US" w:eastAsia="zh-CN"/>
        </w:rPr>
      </w:pPr>
      <w:r>
        <w:rPr>
          <w:rFonts w:hint="eastAsia" w:ascii="Times New Roman" w:hAnsi="Times New Roman" w:eastAsia="楷体" w:cs="楷体"/>
          <w:b/>
          <w:bCs/>
          <w:sz w:val="32"/>
          <w:szCs w:val="32"/>
          <w:lang w:val="en-US" w:eastAsia="zh-CN"/>
        </w:rPr>
        <w:t>（一）绩效目标及完成情况填报质量不达标</w:t>
      </w:r>
    </w:p>
    <w:p w14:paraId="7892BE2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 w:cs="仿宋"/>
          <w:sz w:val="32"/>
          <w:szCs w:val="32"/>
          <w:lang w:val="en-US" w:eastAsia="zh-CN"/>
        </w:rPr>
      </w:pPr>
      <w:r>
        <w:rPr>
          <w:rFonts w:hint="eastAsia" w:ascii="Times New Roman" w:hAnsi="Times New Roman" w:eastAsia="仿宋" w:cs="仿宋"/>
          <w:sz w:val="32"/>
          <w:szCs w:val="32"/>
          <w:lang w:val="en-US" w:eastAsia="zh-CN"/>
        </w:rPr>
        <w:t>绩效目标及完成情况填报存在明显不规范问题，部分项目填报内容笼统空泛，缺乏量化数据支撑，导致绩效目标不具备可考核性；另有项目系统填报的绩效指标完成值与佐证材料不一致，存在为规避系统扣分而保守填报的情形，未能客观如实反映项目实际成效。</w:t>
      </w:r>
    </w:p>
    <w:p w14:paraId="76604126">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Times New Roman" w:hAnsi="Times New Roman" w:eastAsia="楷体" w:cs="楷体"/>
          <w:b/>
          <w:bCs/>
          <w:sz w:val="32"/>
          <w:szCs w:val="32"/>
          <w:lang w:val="en-US" w:eastAsia="zh-CN"/>
        </w:rPr>
      </w:pPr>
      <w:r>
        <w:rPr>
          <w:rFonts w:hint="eastAsia" w:ascii="Times New Roman" w:hAnsi="Times New Roman" w:eastAsia="楷体" w:cs="楷体"/>
          <w:b/>
          <w:bCs/>
          <w:sz w:val="32"/>
          <w:szCs w:val="32"/>
          <w:lang w:val="en-US" w:eastAsia="zh-CN"/>
        </w:rPr>
        <w:t>（二）绩效指标设置针对性与匹配度不足</w:t>
      </w:r>
    </w:p>
    <w:p w14:paraId="0A1E247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 w:cs="仿宋"/>
          <w:sz w:val="32"/>
          <w:szCs w:val="32"/>
          <w:lang w:val="en-US" w:eastAsia="zh-CN"/>
        </w:rPr>
      </w:pPr>
      <w:r>
        <w:rPr>
          <w:rFonts w:hint="eastAsia" w:ascii="Times New Roman" w:hAnsi="Times New Roman" w:eastAsia="仿宋" w:cs="仿宋"/>
          <w:sz w:val="32"/>
          <w:szCs w:val="32"/>
          <w:lang w:val="en-US" w:eastAsia="zh-CN"/>
        </w:rPr>
        <w:t>绩效指标设置仍存在不合理之处，一方面部分指标与项目关联度较低，个别项目的部分三级指标未能直接体现项目实际情况，缺乏针对性；另一方面指标匹配度与设定科学性欠缺，未结合项目实际情况及绩效目标进行针对性拆解，指标值设定与项目实际完成情况存在偏差。</w:t>
      </w:r>
      <w:bookmarkStart w:id="0" w:name="_GoBack"/>
      <w:bookmarkEnd w:id="0"/>
    </w:p>
    <w:p w14:paraId="7B4919E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黑体" w:cs="黑体"/>
          <w:sz w:val="32"/>
          <w:szCs w:val="32"/>
          <w:lang w:val="en-US" w:eastAsia="zh-CN"/>
        </w:rPr>
      </w:pPr>
      <w:r>
        <w:rPr>
          <w:rFonts w:hint="eastAsia" w:ascii="Times New Roman" w:hAnsi="Times New Roman" w:eastAsia="黑体" w:cs="黑体"/>
          <w:sz w:val="32"/>
          <w:szCs w:val="32"/>
          <w:lang w:val="en-US" w:eastAsia="zh-CN"/>
        </w:rPr>
        <w:t>三、下一步工作安排</w:t>
      </w:r>
    </w:p>
    <w:p w14:paraId="5123DD4D">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Times New Roman" w:hAnsi="Times New Roman" w:eastAsia="楷体" w:cs="楷体"/>
          <w:b/>
          <w:bCs/>
          <w:sz w:val="32"/>
          <w:szCs w:val="32"/>
          <w:lang w:val="en-US" w:eastAsia="zh-CN"/>
        </w:rPr>
      </w:pPr>
      <w:r>
        <w:rPr>
          <w:rFonts w:hint="eastAsia" w:ascii="Times New Roman" w:hAnsi="Times New Roman" w:eastAsia="楷体" w:cs="楷体"/>
          <w:b/>
          <w:bCs/>
          <w:sz w:val="32"/>
          <w:szCs w:val="32"/>
          <w:lang w:val="en-US" w:eastAsia="zh-CN"/>
        </w:rPr>
        <w:t>（一）规范填报流程，提升绩效目标及完成情况填报质量</w:t>
      </w:r>
    </w:p>
    <w:p w14:paraId="176DE1F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 w:cs="仿宋"/>
          <w:sz w:val="32"/>
          <w:szCs w:val="32"/>
          <w:lang w:val="en-US" w:eastAsia="zh-CN"/>
        </w:rPr>
      </w:pPr>
      <w:r>
        <w:rPr>
          <w:rFonts w:hint="default" w:ascii="Times New Roman" w:hAnsi="Times New Roman" w:eastAsia="仿宋" w:cs="仿宋"/>
          <w:sz w:val="32"/>
          <w:szCs w:val="32"/>
          <w:lang w:val="en-US" w:eastAsia="zh-CN"/>
        </w:rPr>
        <w:t>针对填报内容不规范、数据支撑不足、佐证材料不符等问题，一是建立填报模板标准化机制，明确绩效目标、指标完成值的填报要素，要求所有量化指标必须附具体数据、比例等支撑依据，严禁填写笼统表述及无效字符，确保绩效目标具备可考核性。二是强化填报审核闭环管理，设置“填报</w:t>
      </w:r>
      <w:r>
        <w:rPr>
          <w:rFonts w:hint="eastAsia" w:ascii="Times New Roman" w:hAnsi="Times New Roman" w:eastAsia="仿宋" w:cs="仿宋"/>
          <w:sz w:val="32"/>
          <w:szCs w:val="32"/>
          <w:lang w:val="en-US" w:eastAsia="zh-CN"/>
        </w:rPr>
        <w:t>－</w:t>
      </w:r>
      <w:r>
        <w:rPr>
          <w:rFonts w:hint="default" w:ascii="Times New Roman" w:hAnsi="Times New Roman" w:eastAsia="仿宋" w:cs="仿宋"/>
          <w:sz w:val="32"/>
          <w:szCs w:val="32"/>
          <w:lang w:val="en-US" w:eastAsia="zh-CN"/>
        </w:rPr>
        <w:t>初审</w:t>
      </w:r>
      <w:r>
        <w:rPr>
          <w:rFonts w:hint="eastAsia" w:ascii="Times New Roman" w:hAnsi="Times New Roman" w:eastAsia="仿宋" w:cs="仿宋"/>
          <w:sz w:val="32"/>
          <w:szCs w:val="32"/>
          <w:lang w:val="en-US" w:eastAsia="zh-CN"/>
        </w:rPr>
        <w:t>－</w:t>
      </w:r>
      <w:r>
        <w:rPr>
          <w:rFonts w:hint="default" w:ascii="Times New Roman" w:hAnsi="Times New Roman" w:eastAsia="仿宋" w:cs="仿宋"/>
          <w:sz w:val="32"/>
          <w:szCs w:val="32"/>
          <w:lang w:val="en-US" w:eastAsia="zh-CN"/>
        </w:rPr>
        <w:t>复核”三级审核流程，初审由项目实施单位业务骨干负责，重点核查指标完成值与佐证材料的一致性；复核由绩效评价部门牵头，通过抽查、实地核验等方式，杜绝为规避扣分而保守填报的行为，确保填报内容客观反映项目实际成效。三是开展填报专项培训，针对常见问题编制操作手册，明确填报规范和负面清单，提升填报人员的业务能力和责任意识。</w:t>
      </w:r>
    </w:p>
    <w:p w14:paraId="795D907B">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 w:cs="仿宋"/>
          <w:sz w:val="32"/>
          <w:szCs w:val="32"/>
          <w:lang w:val="en-US" w:eastAsia="zh-CN"/>
        </w:rPr>
      </w:pPr>
      <w:r>
        <w:rPr>
          <w:rFonts w:hint="eastAsia" w:ascii="Times New Roman" w:hAnsi="Times New Roman" w:eastAsia="楷体" w:cs="楷体"/>
          <w:b/>
          <w:bCs/>
          <w:sz w:val="32"/>
          <w:szCs w:val="32"/>
          <w:lang w:val="en-US" w:eastAsia="zh-CN"/>
        </w:rPr>
        <w:t>（二）优化指标体系，增强绩效指标针对性与匹配度</w:t>
      </w:r>
    </w:p>
    <w:p w14:paraId="6C2115D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 w:cs="仿宋"/>
          <w:sz w:val="32"/>
          <w:szCs w:val="32"/>
          <w:lang w:val="en-US" w:eastAsia="zh-CN"/>
        </w:rPr>
      </w:pPr>
      <w:r>
        <w:rPr>
          <w:rFonts w:hint="default" w:ascii="Times New Roman" w:hAnsi="Times New Roman" w:eastAsia="仿宋" w:cs="仿宋"/>
          <w:sz w:val="32"/>
          <w:szCs w:val="32"/>
          <w:lang w:val="en-US" w:eastAsia="zh-CN"/>
        </w:rPr>
        <w:t>围绕指标设置不合理、针对性不强、匹配度不足等短板，一是推行指标差异化定制，摒弃“一刀切”的指标套用模式，要求结合项目类型、实施内容、核心目标，分层分类设计三级绩效指标，确保指标与项目实际高度关联。二是完善指标动态调整机制，根据项目实施进度、外部环境变化等因素，及时优化调整绩效指标，确保指标始终与项目实施需求相匹配，充分发挥绩效指标的导向和约束作用。</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FEE0A3">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A381A42">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5A381A42">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125861"/>
    <w:rsid w:val="05E3242C"/>
    <w:rsid w:val="0E1934B6"/>
    <w:rsid w:val="0E7019A5"/>
    <w:rsid w:val="0FD22917"/>
    <w:rsid w:val="10961B97"/>
    <w:rsid w:val="11A93B4C"/>
    <w:rsid w:val="14C52A4A"/>
    <w:rsid w:val="14D507B4"/>
    <w:rsid w:val="163529B3"/>
    <w:rsid w:val="167028A8"/>
    <w:rsid w:val="1D6A6CDE"/>
    <w:rsid w:val="1F3A2287"/>
    <w:rsid w:val="1F550E6F"/>
    <w:rsid w:val="1F70574E"/>
    <w:rsid w:val="27343A60"/>
    <w:rsid w:val="27BB1A8B"/>
    <w:rsid w:val="292E4C0A"/>
    <w:rsid w:val="2B4406EB"/>
    <w:rsid w:val="2EF97A69"/>
    <w:rsid w:val="36A4475E"/>
    <w:rsid w:val="36AC3C67"/>
    <w:rsid w:val="38646D95"/>
    <w:rsid w:val="3E2919ED"/>
    <w:rsid w:val="3F6C179B"/>
    <w:rsid w:val="41686388"/>
    <w:rsid w:val="42E134BC"/>
    <w:rsid w:val="42E45EE2"/>
    <w:rsid w:val="44092E53"/>
    <w:rsid w:val="44557097"/>
    <w:rsid w:val="44B61175"/>
    <w:rsid w:val="46117B9B"/>
    <w:rsid w:val="46E841F3"/>
    <w:rsid w:val="47332F94"/>
    <w:rsid w:val="480A7DD2"/>
    <w:rsid w:val="49836455"/>
    <w:rsid w:val="49CF51F6"/>
    <w:rsid w:val="4B6D2F19"/>
    <w:rsid w:val="4CEC4311"/>
    <w:rsid w:val="4FF43C08"/>
    <w:rsid w:val="52D5143D"/>
    <w:rsid w:val="52F73085"/>
    <w:rsid w:val="53605111"/>
    <w:rsid w:val="58E24C61"/>
    <w:rsid w:val="5AC93559"/>
    <w:rsid w:val="5C2F5FC8"/>
    <w:rsid w:val="60224665"/>
    <w:rsid w:val="60BD1DF5"/>
    <w:rsid w:val="67277FC8"/>
    <w:rsid w:val="6792076B"/>
    <w:rsid w:val="694766FF"/>
    <w:rsid w:val="6B00125C"/>
    <w:rsid w:val="717E737E"/>
    <w:rsid w:val="74CC0400"/>
    <w:rsid w:val="768B7D92"/>
    <w:rsid w:val="77BA69B4"/>
    <w:rsid w:val="77F9775E"/>
    <w:rsid w:val="78FD6DDA"/>
    <w:rsid w:val="799E680F"/>
    <w:rsid w:val="79FB04D3"/>
    <w:rsid w:val="7A252A8D"/>
    <w:rsid w:val="7B38059E"/>
    <w:rsid w:val="7B98728E"/>
    <w:rsid w:val="7C156B31"/>
    <w:rsid w:val="7DCA2FC0"/>
    <w:rsid w:val="7E4516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93c3eb93-f0a9-46f1-9d45-9155d5868a71</errorID>
      <errorWord>-</errorWord>
      <group>L1_Format</group>
      <groupName>格式问题</groupName>
      <ability>L2_HalfPunc</ability>
      <abilityName>全半角检查</abilityName>
      <candidateList>
        <item>－</item>
      </candidateList>
      <explain>文本全半角错误。</explain>
      <paraID>176DE1F0</paraID>
      <start>128</start>
      <end>129</end>
      <status>modified</status>
      <modifiedWord>－</modifiedWord>
      <trackRevisions>false</trackRevisions>
    </reviewItem>
    <reviewItem>
      <errorID>6318d0d9-26b2-4bb0-8ac9-c69c32d3ef17</errorID>
      <errorWord>-</errorWord>
      <group>L1_Format</group>
      <groupName>格式问题</groupName>
      <ability>L2_HalfPunc</ability>
      <abilityName>全半角检查</abilityName>
      <candidateList>
        <item>－</item>
      </candidateList>
      <explain>文本全半角错误。</explain>
      <paraID>176DE1F0</paraID>
      <start>131</start>
      <end>132</end>
      <status>modified</status>
      <modifiedWord>－</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60dfade-dcb1-40c9-8cb3-cd96d26e177b}">
  <ds:schemaRefs/>
</ds:datastoreItem>
</file>

<file path=docProps/app.xml><?xml version="1.0" encoding="utf-8"?>
<Properties xmlns="http://schemas.openxmlformats.org/officeDocument/2006/extended-properties" xmlns:vt="http://schemas.openxmlformats.org/officeDocument/2006/docPropsVTypes">
  <Template>Normal.dotm</Template>
  <Pages>3</Pages>
  <Words>1802</Words>
  <Characters>1833</Characters>
  <Lines>0</Lines>
  <Paragraphs>0</Paragraphs>
  <TotalTime>121</TotalTime>
  <ScaleCrop>false</ScaleCrop>
  <LinksUpToDate>false</LinksUpToDate>
  <CharactersWithSpaces>1833</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2025-12-24T01:07:00Z</dcterms:created>
  <dc:creator>SY0032</dc:creator>
  <cp:lastModifiedBy>daisy</cp:lastModifiedBy>
  <dcterms:modified xsi:type="dcterms:W3CDTF">2025-12-24T05:22:53Z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KSOTemplateDocerSaveRecord">
    <vt:lpwstr>eyJoZGlkIjoiOTBjNjQxODI1ZmIwMTVjMmFlZjk2ZThlZDkzZTYwYjIiLCJ1c2VySWQiOiIxMTk5NTgwNTgzIn0=</vt:lpwstr>
  </property>
  <property fmtid="{D5CDD505-2E9C-101B-9397-08002B2CF9AE}" pid="4" name="ICV">
    <vt:lpwstr>8657AFC04D024DBDACDA12D96A7E961E_13</vt:lpwstr>
  </property>
</Properties>
</file>