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59DED">
      <w:pPr>
        <w:keepNext w:val="0"/>
        <w:keepLines w:val="0"/>
        <w:pageBreakBefore w:val="0"/>
        <w:widowControl/>
        <w:kinsoku/>
        <w:wordWrap/>
        <w:overflowPunct/>
        <w:topLinePunct w:val="0"/>
        <w:bidi w:val="0"/>
        <w:spacing w:line="570" w:lineRule="exact"/>
        <w:ind w:left="0" w:leftChars="0"/>
        <w:jc w:val="right"/>
        <w:textAlignment w:val="auto"/>
        <w:rPr>
          <w:rFonts w:hint="default" w:ascii="Times New Roman" w:hAnsi="Times New Roman" w:eastAsia="仿宋_GB2312" w:cs="Times New Roman"/>
          <w:color w:val="auto"/>
          <w:sz w:val="32"/>
          <w:szCs w:val="32"/>
          <w:highlight w:val="none"/>
        </w:rPr>
      </w:pPr>
    </w:p>
    <w:p w14:paraId="56F0DCF6">
      <w:pPr>
        <w:keepNext w:val="0"/>
        <w:keepLines w:val="0"/>
        <w:pageBreakBefore w:val="0"/>
        <w:widowControl/>
        <w:kinsoku/>
        <w:wordWrap/>
        <w:overflowPunct/>
        <w:topLinePunct w:val="0"/>
        <w:bidi w:val="0"/>
        <w:spacing w:line="570" w:lineRule="exact"/>
        <w:ind w:left="0" w:leftChars="0"/>
        <w:jc w:val="right"/>
        <w:textAlignment w:val="auto"/>
        <w:rPr>
          <w:rFonts w:hint="default" w:ascii="Times New Roman" w:hAnsi="Times New Roman" w:eastAsia="仿宋_GB2312" w:cs="Times New Roman"/>
          <w:color w:val="auto"/>
          <w:sz w:val="32"/>
          <w:szCs w:val="32"/>
          <w:highlight w:val="none"/>
        </w:rPr>
      </w:pPr>
    </w:p>
    <w:p w14:paraId="7D6D07C4">
      <w:pPr>
        <w:pStyle w:val="15"/>
        <w:keepNext w:val="0"/>
        <w:keepLines w:val="0"/>
        <w:pageBreakBefore w:val="0"/>
        <w:kinsoku/>
        <w:wordWrap/>
        <w:overflowPunct/>
        <w:topLinePunct w:val="0"/>
        <w:bidi w:val="0"/>
        <w:spacing w:line="570" w:lineRule="exact"/>
        <w:ind w:left="78" w:leftChars="0" w:hanging="78"/>
        <w:textAlignment w:val="auto"/>
        <w:rPr>
          <w:rFonts w:hint="default" w:ascii="Times New Roman" w:hAnsi="Times New Roman" w:eastAsia="仿宋_GB2312" w:cs="Times New Roman"/>
          <w:color w:val="auto"/>
          <w:highlight w:val="none"/>
        </w:rPr>
      </w:pPr>
    </w:p>
    <w:p w14:paraId="0F343474">
      <w:pPr>
        <w:keepNext w:val="0"/>
        <w:keepLines w:val="0"/>
        <w:pageBreakBefore w:val="0"/>
        <w:widowControl/>
        <w:kinsoku/>
        <w:wordWrap/>
        <w:overflowPunct/>
        <w:topLinePunct w:val="0"/>
        <w:bidi w:val="0"/>
        <w:spacing w:line="570" w:lineRule="exact"/>
        <w:ind w:left="0" w:leftChars="0"/>
        <w:jc w:val="right"/>
        <w:textAlignment w:val="auto"/>
        <w:rPr>
          <w:rFonts w:hint="default" w:ascii="Times New Roman" w:hAnsi="Times New Roman" w:eastAsia="仿宋_GB2312" w:cs="Times New Roman"/>
          <w:color w:val="auto"/>
          <w:sz w:val="32"/>
          <w:szCs w:val="32"/>
          <w:highlight w:val="none"/>
        </w:rPr>
      </w:pPr>
    </w:p>
    <w:p w14:paraId="3DDD7479">
      <w:pPr>
        <w:pStyle w:val="43"/>
        <w:keepNext w:val="0"/>
        <w:keepLines w:val="0"/>
        <w:pageBreakBefore w:val="0"/>
        <w:kinsoku/>
        <w:wordWrap/>
        <w:overflowPunct/>
        <w:topLinePunct w:val="0"/>
        <w:bidi w:val="0"/>
        <w:spacing w:line="570" w:lineRule="exact"/>
        <w:ind w:left="0" w:leftChars="0"/>
        <w:jc w:val="right"/>
        <w:textAlignment w:val="auto"/>
        <w:rPr>
          <w:rFonts w:hint="default" w:ascii="Times New Roman" w:hAnsi="Times New Roman" w:eastAsia="仿宋_GB2312" w:cs="Times New Roman"/>
          <w:color w:val="auto"/>
          <w:sz w:val="32"/>
          <w:szCs w:val="32"/>
          <w:highlight w:val="none"/>
          <w:shd w:val="pct10" w:color="auto" w:fill="FFFFFF"/>
          <w:lang w:eastAsia="zh-CN"/>
        </w:rPr>
      </w:pPr>
      <w:r>
        <w:rPr>
          <w:rFonts w:hint="default" w:ascii="Times New Roman" w:hAnsi="Times New Roman" w:eastAsia="仿宋_GB2312" w:cs="Times New Roman"/>
          <w:color w:val="auto"/>
          <w:sz w:val="32"/>
          <w:szCs w:val="32"/>
          <w:highlight w:val="none"/>
          <w:shd w:val="pct10" w:color="auto" w:fill="FFFFFF"/>
        </w:rPr>
        <w:t>本环建表字</w:t>
      </w:r>
      <w:r>
        <w:rPr>
          <w:rFonts w:hint="default" w:ascii="Times New Roman" w:hAnsi="Times New Roman" w:eastAsia="仿宋_GB2312" w:cs="Times New Roman"/>
          <w:color w:val="auto"/>
          <w:sz w:val="32"/>
          <w:szCs w:val="32"/>
          <w:highlight w:val="none"/>
          <w:shd w:val="pct10" w:color="auto" w:fill="FFFFFF"/>
          <w:lang w:eastAsia="zh-CN"/>
        </w:rPr>
        <w:t>〔202</w:t>
      </w:r>
      <w:r>
        <w:rPr>
          <w:rFonts w:hint="default" w:ascii="Times New Roman" w:hAnsi="Times New Roman" w:eastAsia="仿宋_GB2312" w:cs="Times New Roman"/>
          <w:color w:val="auto"/>
          <w:sz w:val="32"/>
          <w:szCs w:val="32"/>
          <w:highlight w:val="none"/>
          <w:shd w:val="pct10" w:color="auto" w:fill="FFFFFF"/>
          <w:lang w:val="en-US" w:eastAsia="zh-CN"/>
        </w:rPr>
        <w:t>5</w:t>
      </w:r>
      <w:r>
        <w:rPr>
          <w:rFonts w:hint="default" w:ascii="Times New Roman" w:hAnsi="Times New Roman" w:eastAsia="仿宋_GB2312" w:cs="Times New Roman"/>
          <w:color w:val="auto"/>
          <w:sz w:val="32"/>
          <w:szCs w:val="32"/>
          <w:highlight w:val="none"/>
          <w:shd w:val="pct10" w:color="auto" w:fill="FFFFFF"/>
          <w:lang w:eastAsia="zh-CN"/>
        </w:rPr>
        <w:t>〕</w:t>
      </w:r>
      <w:r>
        <w:rPr>
          <w:rFonts w:hint="default" w:ascii="Times New Roman" w:hAnsi="Times New Roman" w:eastAsia="仿宋_GB2312" w:cs="Times New Roman"/>
          <w:color w:val="auto"/>
          <w:sz w:val="32"/>
          <w:szCs w:val="32"/>
          <w:highlight w:val="none"/>
          <w:shd w:val="pct10" w:color="auto" w:fill="FFFFFF"/>
          <w:lang w:val="en-US" w:eastAsia="zh-CN"/>
        </w:rPr>
        <w:t>xx</w:t>
      </w:r>
      <w:r>
        <w:rPr>
          <w:rFonts w:hint="default" w:ascii="Times New Roman" w:hAnsi="Times New Roman" w:eastAsia="仿宋_GB2312" w:cs="Times New Roman"/>
          <w:color w:val="auto"/>
          <w:sz w:val="32"/>
          <w:szCs w:val="32"/>
          <w:highlight w:val="none"/>
          <w:shd w:val="pct10" w:color="auto" w:fill="FFFFFF"/>
          <w:lang w:eastAsia="zh-CN"/>
        </w:rPr>
        <w:t>号</w:t>
      </w:r>
    </w:p>
    <w:p w14:paraId="1F4C3BF3">
      <w:pPr>
        <w:keepNext w:val="0"/>
        <w:keepLines w:val="0"/>
        <w:pageBreakBefore w:val="0"/>
        <w:kinsoku/>
        <w:wordWrap/>
        <w:overflowPunct/>
        <w:topLinePunct w:val="0"/>
        <w:bidi w:val="0"/>
        <w:spacing w:line="570" w:lineRule="exact"/>
        <w:ind w:left="0"/>
        <w:jc w:val="center"/>
        <w:textAlignment w:val="auto"/>
        <w:rPr>
          <w:rFonts w:hint="eastAsia" w:ascii="方正小标宋简体" w:hAnsi="方正小标宋简体" w:eastAsia="方正小标宋简体" w:cs="方正小标宋简体"/>
          <w:b w:val="0"/>
          <w:bCs w:val="0"/>
          <w:color w:val="auto"/>
          <w:spacing w:val="11"/>
          <w:sz w:val="44"/>
          <w:szCs w:val="44"/>
          <w:highlight w:val="none"/>
          <w:lang w:eastAsia="zh-CN"/>
        </w:rPr>
      </w:pPr>
      <w:r>
        <w:rPr>
          <w:rFonts w:hint="eastAsia" w:ascii="方正小标宋简体" w:hAnsi="方正小标宋简体" w:eastAsia="方正小标宋简体" w:cs="方正小标宋简体"/>
          <w:b w:val="0"/>
          <w:bCs w:val="0"/>
          <w:snapToGrid/>
          <w:color w:val="auto"/>
          <w:spacing w:val="0"/>
          <w:kern w:val="2"/>
          <w:sz w:val="44"/>
          <w:szCs w:val="44"/>
          <w:highlight w:val="none"/>
        </w:rPr>
        <w:t>关于《</w:t>
      </w:r>
      <w:r>
        <w:rPr>
          <w:rFonts w:hint="eastAsia" w:ascii="方正小标宋简体" w:hAnsi="方正小标宋简体" w:eastAsia="方正小标宋简体" w:cs="方正小标宋简体"/>
          <w:b w:val="0"/>
          <w:bCs w:val="0"/>
          <w:color w:val="auto"/>
          <w:spacing w:val="11"/>
          <w:sz w:val="44"/>
          <w:szCs w:val="44"/>
          <w:highlight w:val="none"/>
          <w:lang w:eastAsia="zh-CN"/>
        </w:rPr>
        <w:t>辽宁上药科技开发有限公司研发</w:t>
      </w:r>
    </w:p>
    <w:p w14:paraId="293DCFD8">
      <w:pPr>
        <w:keepNext w:val="0"/>
        <w:keepLines w:val="0"/>
        <w:pageBreakBefore w:val="0"/>
        <w:kinsoku/>
        <w:wordWrap/>
        <w:overflowPunct/>
        <w:topLinePunct w:val="0"/>
        <w:bidi w:val="0"/>
        <w:spacing w:line="570" w:lineRule="exact"/>
        <w:ind w:left="0"/>
        <w:jc w:val="center"/>
        <w:textAlignment w:val="auto"/>
        <w:rPr>
          <w:rFonts w:hint="default" w:ascii="Times New Roman" w:hAnsi="Times New Roman" w:eastAsia="仿宋_GB2312" w:cs="Times New Roman"/>
          <w:b/>
          <w:snapToGrid/>
          <w:color w:val="auto"/>
          <w:spacing w:val="0"/>
          <w:kern w:val="2"/>
          <w:sz w:val="44"/>
          <w:szCs w:val="44"/>
          <w:highlight w:val="none"/>
        </w:rPr>
      </w:pPr>
      <w:r>
        <w:rPr>
          <w:rFonts w:hint="eastAsia" w:ascii="方正小标宋简体" w:hAnsi="方正小标宋简体" w:eastAsia="方正小标宋简体" w:cs="方正小标宋简体"/>
          <w:b w:val="0"/>
          <w:bCs w:val="0"/>
          <w:color w:val="auto"/>
          <w:spacing w:val="11"/>
          <w:sz w:val="44"/>
          <w:szCs w:val="44"/>
          <w:highlight w:val="none"/>
          <w:lang w:eastAsia="zh-CN"/>
        </w:rPr>
        <w:t>中心改扩建项目环境影响报告表</w:t>
      </w:r>
      <w:r>
        <w:rPr>
          <w:rFonts w:hint="eastAsia" w:ascii="方正小标宋简体" w:hAnsi="方正小标宋简体" w:eastAsia="方正小标宋简体" w:cs="方正小标宋简体"/>
          <w:b w:val="0"/>
          <w:bCs w:val="0"/>
          <w:snapToGrid/>
          <w:color w:val="auto"/>
          <w:spacing w:val="0"/>
          <w:kern w:val="2"/>
          <w:sz w:val="44"/>
          <w:szCs w:val="44"/>
          <w:highlight w:val="none"/>
        </w:rPr>
        <w:t>》的批复</w:t>
      </w:r>
    </w:p>
    <w:p w14:paraId="1C53FD9A">
      <w:pPr>
        <w:keepNext w:val="0"/>
        <w:keepLines w:val="0"/>
        <w:pageBreakBefore w:val="0"/>
        <w:kinsoku/>
        <w:wordWrap/>
        <w:overflowPunct/>
        <w:topLinePunct w:val="0"/>
        <w:bidi w:val="0"/>
        <w:spacing w:after="240" w:afterLines="100" w:line="570" w:lineRule="exact"/>
        <w:ind w:left="0" w:leftChars="0"/>
        <w:jc w:val="center"/>
        <w:textAlignment w:val="auto"/>
        <w:rPr>
          <w:rFonts w:hint="default" w:ascii="Times New Roman" w:hAnsi="Times New Roman" w:eastAsia="仿宋_GB2312" w:cs="Times New Roman"/>
          <w:bCs w:val="0"/>
          <w:snapToGrid/>
          <w:color w:val="auto"/>
          <w:spacing w:val="0"/>
          <w:kern w:val="2"/>
          <w:sz w:val="32"/>
          <w:szCs w:val="32"/>
          <w:highlight w:val="none"/>
          <w:lang w:eastAsia="zh-CN"/>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Cs w:val="0"/>
          <w:snapToGrid/>
          <w:color w:val="auto"/>
          <w:spacing w:val="0"/>
          <w:kern w:val="2"/>
          <w:sz w:val="32"/>
          <w:szCs w:val="32"/>
          <w:highlight w:val="none"/>
        </w:rPr>
        <w:t>征求意见稿</w:t>
      </w:r>
      <w:r>
        <w:rPr>
          <w:rFonts w:hint="default" w:ascii="Times New Roman" w:hAnsi="Times New Roman" w:eastAsia="仿宋_GB2312" w:cs="Times New Roman"/>
          <w:color w:val="auto"/>
          <w:sz w:val="32"/>
          <w:szCs w:val="32"/>
          <w:highlight w:val="none"/>
          <w:lang w:eastAsia="zh-CN"/>
        </w:rPr>
        <w:t>）</w:t>
      </w:r>
    </w:p>
    <w:p w14:paraId="2848645A">
      <w:pPr>
        <w:keepNext w:val="0"/>
        <w:keepLines w:val="0"/>
        <w:pageBreakBefore w:val="0"/>
        <w:widowControl w:val="0"/>
        <w:kinsoku/>
        <w:wordWrap/>
        <w:overflowPunct/>
        <w:topLinePunct w:val="0"/>
        <w:autoSpaceDE/>
        <w:autoSpaceDN/>
        <w:bidi w:val="0"/>
        <w:adjustRightInd w:val="0"/>
        <w:snapToGrid w:val="0"/>
        <w:spacing w:line="570" w:lineRule="exact"/>
        <w:ind w:left="0"/>
        <w:jc w:val="both"/>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bCs/>
          <w:color w:val="auto"/>
          <w:sz w:val="32"/>
          <w:szCs w:val="32"/>
          <w:highlight w:val="none"/>
          <w:lang w:eastAsia="zh-CN"/>
        </w:rPr>
        <w:t>辽宁上药科技开发有限公司</w:t>
      </w:r>
      <w:r>
        <w:rPr>
          <w:rFonts w:hint="default" w:ascii="Times New Roman" w:hAnsi="Times New Roman" w:eastAsia="仿宋_GB2312" w:cs="Times New Roman"/>
          <w:color w:val="auto"/>
          <w:sz w:val="32"/>
          <w:highlight w:val="none"/>
          <w:lang w:val="en-US" w:eastAsia="zh-CN"/>
        </w:rPr>
        <w:t>：</w:t>
      </w:r>
    </w:p>
    <w:p w14:paraId="7EE90C18">
      <w:pPr>
        <w:keepNext w:val="0"/>
        <w:keepLines w:val="0"/>
        <w:pageBreakBefore w:val="0"/>
        <w:widowControl w:val="0"/>
        <w:kinsoku/>
        <w:wordWrap/>
        <w:overflowPunct/>
        <w:topLinePunct w:val="0"/>
        <w:autoSpaceDE/>
        <w:autoSpaceDN/>
        <w:bidi w:val="0"/>
        <w:spacing w:line="570" w:lineRule="exact"/>
        <w:ind w:left="0" w:leftChars="0" w:firstLine="680" w:firstLineChars="200"/>
        <w:jc w:val="both"/>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你公司报送的《</w:t>
      </w:r>
      <w:r>
        <w:rPr>
          <w:rFonts w:hint="default" w:ascii="Times New Roman" w:hAnsi="Times New Roman" w:eastAsia="仿宋_GB2312" w:cs="Times New Roman"/>
          <w:bCs/>
          <w:color w:val="auto"/>
          <w:sz w:val="32"/>
          <w:szCs w:val="32"/>
          <w:highlight w:val="none"/>
          <w:lang w:eastAsia="zh-CN"/>
        </w:rPr>
        <w:t>辽宁上药科技开发有限公司研发中心改扩建项目环境影响报告表</w:t>
      </w:r>
      <w:r>
        <w:rPr>
          <w:rFonts w:hint="default" w:ascii="Times New Roman" w:hAnsi="Times New Roman" w:eastAsia="仿宋_GB2312" w:cs="Times New Roman"/>
          <w:color w:val="auto"/>
          <w:sz w:val="32"/>
          <w:highlight w:val="none"/>
          <w:lang w:val="en-US" w:eastAsia="zh-CN"/>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highlight w:val="none"/>
          <w:lang w:val="en-US" w:eastAsia="zh-CN"/>
        </w:rPr>
        <w:t>以下简称“报告表”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highlight w:val="none"/>
          <w:lang w:val="en-US" w:eastAsia="zh-CN"/>
        </w:rPr>
        <w:t>已收悉。根据环评专家评审意见及技术评估报告结论，经我局2025年建设项目审查委员会第</w:t>
      </w:r>
      <w:r>
        <w:rPr>
          <w:rFonts w:hint="default" w:ascii="Times New Roman" w:hAnsi="Times New Roman" w:eastAsia="仿宋_GB2312" w:cs="Times New Roman"/>
          <w:color w:val="auto"/>
          <w:sz w:val="32"/>
          <w:highlight w:val="none"/>
          <w:lang w:val="en-US" w:eastAsia="zh-CN"/>
        </w:rPr>
        <w:t>八</w:t>
      </w:r>
      <w:r>
        <w:rPr>
          <w:rFonts w:hint="default" w:ascii="Times New Roman" w:hAnsi="Times New Roman" w:eastAsia="仿宋_GB2312" w:cs="Times New Roman"/>
          <w:color w:val="auto"/>
          <w:sz w:val="32"/>
          <w:highlight w:val="none"/>
          <w:lang w:val="en-US" w:eastAsia="zh-CN"/>
        </w:rPr>
        <w:t>次会议讨论同意，批复如下。</w:t>
      </w:r>
    </w:p>
    <w:p w14:paraId="6A776BE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80" w:firstLineChars="200"/>
        <w:jc w:val="both"/>
        <w:textAlignment w:val="auto"/>
        <w:rPr>
          <w:rFonts w:hint="default" w:ascii="Times New Roman" w:hAnsi="Times New Roman" w:eastAsia="仿宋_GB2312" w:cs="Times New Roman"/>
          <w:color w:val="auto"/>
          <w:sz w:val="32"/>
          <w:highlight w:val="none"/>
          <w:lang w:val="en-US" w:eastAsia="zh-CN"/>
        </w:rPr>
      </w:pPr>
      <w:bookmarkStart w:id="0" w:name="_GoBack"/>
      <w:bookmarkEnd w:id="0"/>
      <w:r>
        <w:rPr>
          <w:rFonts w:hint="eastAsia" w:ascii="Times New Roman" w:hAnsi="Times New Roman" w:eastAsia="仿宋_GB2312" w:cs="Times New Roman"/>
          <w:bCs/>
          <w:snapToGrid w:val="0"/>
          <w:color w:val="auto"/>
          <w:spacing w:val="10"/>
          <w:sz w:val="32"/>
          <w:szCs w:val="24"/>
          <w:lang w:val="en-US" w:eastAsia="zh-CN" w:bidi="ar-SA"/>
        </w:rPr>
        <w:t>一、</w:t>
      </w:r>
      <w:r>
        <w:rPr>
          <w:rFonts w:hint="default" w:ascii="Times New Roman" w:hAnsi="Times New Roman" w:eastAsia="仿宋_GB2312" w:cs="Times New Roman"/>
          <w:color w:val="auto"/>
          <w:sz w:val="32"/>
          <w:highlight w:val="none"/>
          <w:lang w:val="en-US" w:eastAsia="zh-CN"/>
        </w:rPr>
        <w:t>辽宁上药科技开发有限公司研发中心改扩建项目</w:t>
      </w:r>
      <w:r>
        <w:rPr>
          <w:rFonts w:hint="default" w:ascii="Times New Roman" w:hAnsi="Times New Roman" w:eastAsia="仿宋_GB2312" w:cs="Times New Roman"/>
          <w:color w:val="auto"/>
          <w:sz w:val="32"/>
          <w:highlight w:val="none"/>
          <w:lang w:val="en-US" w:eastAsia="zh-CN"/>
        </w:rPr>
        <w:t>位于</w:t>
      </w:r>
      <w:r>
        <w:rPr>
          <w:rFonts w:hint="default" w:ascii="Times New Roman" w:hAnsi="Times New Roman" w:eastAsia="仿宋_GB2312" w:cs="Times New Roman"/>
          <w:color w:val="auto"/>
          <w:sz w:val="32"/>
          <w:highlight w:val="none"/>
          <w:lang w:val="en-US" w:eastAsia="zh-CN"/>
        </w:rPr>
        <w:t>辽宁省本溪市本溪经济开发区香槐路158-9栋</w:t>
      </w:r>
      <w:r>
        <w:rPr>
          <w:rFonts w:hint="default" w:ascii="Times New Roman" w:hAnsi="Times New Roman" w:eastAsia="仿宋_GB2312" w:cs="Times New Roman"/>
          <w:color w:val="auto"/>
          <w:sz w:val="32"/>
          <w:highlight w:val="none"/>
          <w:lang w:val="en-US" w:eastAsia="zh-CN"/>
        </w:rPr>
        <w:t>，项目总投资为</w:t>
      </w:r>
      <w:r>
        <w:rPr>
          <w:rFonts w:hint="default" w:ascii="Times New Roman" w:hAnsi="Times New Roman" w:eastAsia="仿宋_GB2312" w:cs="Times New Roman"/>
          <w:color w:val="auto"/>
          <w:sz w:val="32"/>
          <w:highlight w:val="none"/>
          <w:lang w:val="en-US" w:eastAsia="zh-CN"/>
        </w:rPr>
        <w:t>565.66</w:t>
      </w:r>
      <w:r>
        <w:rPr>
          <w:rFonts w:hint="default" w:ascii="Times New Roman" w:hAnsi="Times New Roman" w:eastAsia="仿宋_GB2312" w:cs="Times New Roman"/>
          <w:color w:val="auto"/>
          <w:sz w:val="32"/>
          <w:highlight w:val="none"/>
          <w:lang w:val="en-US" w:eastAsia="zh-CN"/>
        </w:rPr>
        <w:t>万元，环保投资</w:t>
      </w:r>
      <w:r>
        <w:rPr>
          <w:rFonts w:hint="default" w:ascii="Times New Roman" w:hAnsi="Times New Roman" w:eastAsia="仿宋_GB2312" w:cs="Times New Roman"/>
          <w:color w:val="auto"/>
          <w:sz w:val="32"/>
          <w:highlight w:val="none"/>
          <w:lang w:val="en-US" w:eastAsia="zh-CN"/>
        </w:rPr>
        <w:t>61.9</w:t>
      </w:r>
      <w:r>
        <w:rPr>
          <w:rFonts w:hint="default" w:ascii="Times New Roman" w:hAnsi="Times New Roman" w:eastAsia="仿宋_GB2312" w:cs="Times New Roman"/>
          <w:color w:val="auto"/>
          <w:sz w:val="32"/>
          <w:highlight w:val="none"/>
          <w:lang w:val="en-US" w:eastAsia="zh-CN"/>
        </w:rPr>
        <w:t>万元，环保投资占比</w:t>
      </w:r>
      <w:r>
        <w:rPr>
          <w:rFonts w:hint="default" w:ascii="Times New Roman" w:hAnsi="Times New Roman" w:eastAsia="仿宋_GB2312" w:cs="Times New Roman"/>
          <w:color w:val="auto"/>
          <w:sz w:val="32"/>
          <w:highlight w:val="none"/>
          <w:lang w:val="en-US" w:eastAsia="zh-CN"/>
        </w:rPr>
        <w:t>11</w:t>
      </w:r>
      <w:r>
        <w:rPr>
          <w:rFonts w:hint="default" w:ascii="Times New Roman" w:hAnsi="Times New Roman" w:eastAsia="仿宋_GB2312" w:cs="Times New Roman"/>
          <w:color w:val="auto"/>
          <w:sz w:val="32"/>
          <w:highlight w:val="none"/>
          <w:lang w:val="en-US" w:eastAsia="zh-CN"/>
        </w:rPr>
        <w:t>%。</w:t>
      </w:r>
      <w:r>
        <w:rPr>
          <w:rFonts w:hint="default" w:ascii="Times New Roman" w:hAnsi="Times New Roman" w:eastAsia="仿宋_GB2312" w:cs="Times New Roman"/>
          <w:color w:val="auto"/>
          <w:sz w:val="32"/>
          <w:szCs w:val="32"/>
          <w:highlight w:val="none"/>
          <w:lang w:eastAsia="zh-CN"/>
        </w:rPr>
        <w:t>本项目属</w:t>
      </w:r>
      <w:r>
        <w:rPr>
          <w:rFonts w:hint="default" w:ascii="Times New Roman" w:hAnsi="Times New Roman" w:eastAsia="仿宋_GB2312" w:cs="Times New Roman"/>
          <w:color w:val="auto"/>
          <w:sz w:val="32"/>
          <w:szCs w:val="32"/>
          <w:highlight w:val="none"/>
          <w:lang w:val="en-US" w:eastAsia="zh-CN"/>
        </w:rPr>
        <w:t>于</w:t>
      </w:r>
      <w:r>
        <w:rPr>
          <w:rFonts w:hint="default" w:ascii="Times New Roman" w:hAnsi="Times New Roman" w:eastAsia="仿宋_GB2312" w:cs="Times New Roman"/>
          <w:color w:val="auto"/>
          <w:sz w:val="32"/>
          <w:szCs w:val="32"/>
          <w:highlight w:val="none"/>
          <w:lang w:val="en-US" w:eastAsia="zh-CN"/>
        </w:rPr>
        <w:t>扩建</w:t>
      </w:r>
      <w:r>
        <w:rPr>
          <w:rFonts w:hint="default"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shd w:val="clear"/>
          <w:lang w:val="en-US" w:eastAsia="zh-CN"/>
        </w:rPr>
        <w:t>，</w:t>
      </w:r>
      <w:r>
        <w:rPr>
          <w:rFonts w:hint="default" w:ascii="Times New Roman" w:hAnsi="Times New Roman" w:eastAsia="仿宋_GB2312" w:cs="Times New Roman"/>
          <w:color w:val="auto"/>
          <w:sz w:val="32"/>
          <w:szCs w:val="32"/>
          <w:highlight w:val="none"/>
          <w:lang w:val="en-US" w:eastAsia="zh-CN"/>
        </w:rPr>
        <w:t>原有项目于</w:t>
      </w:r>
      <w:r>
        <w:rPr>
          <w:rFonts w:hint="default" w:ascii="Times New Roman" w:hAnsi="Times New Roman" w:eastAsia="仿宋_GB2312" w:cs="Times New Roman"/>
          <w:color w:val="auto"/>
          <w:sz w:val="32"/>
          <w:szCs w:val="32"/>
          <w:highlight w:val="none"/>
          <w:lang w:val="en-US" w:eastAsia="zh-CN"/>
        </w:rPr>
        <w:t>2012</w:t>
      </w:r>
      <w:r>
        <w:rPr>
          <w:rFonts w:hint="default"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szCs w:val="32"/>
          <w:highlight w:val="none"/>
          <w:lang w:val="en-US" w:eastAsia="zh-CN"/>
        </w:rPr>
        <w:t>月</w:t>
      </w:r>
      <w:r>
        <w:rPr>
          <w:rFonts w:hint="default" w:ascii="Times New Roman" w:hAnsi="Times New Roman" w:eastAsia="仿宋_GB2312" w:cs="Times New Roman"/>
          <w:color w:val="auto"/>
          <w:sz w:val="32"/>
          <w:szCs w:val="32"/>
          <w:highlight w:val="none"/>
          <w:lang w:val="en-US" w:eastAsia="zh-CN"/>
        </w:rPr>
        <w:t>26</w:t>
      </w:r>
      <w:r>
        <w:rPr>
          <w:rFonts w:hint="default" w:ascii="Times New Roman" w:hAnsi="Times New Roman" w:eastAsia="仿宋_GB2312" w:cs="Times New Roman"/>
          <w:color w:val="auto"/>
          <w:sz w:val="32"/>
          <w:szCs w:val="32"/>
          <w:highlight w:val="none"/>
          <w:lang w:val="en-US" w:eastAsia="zh-CN"/>
        </w:rPr>
        <w:t>日取得了</w:t>
      </w:r>
      <w:r>
        <w:rPr>
          <w:rFonts w:hint="default" w:ascii="Times New Roman" w:hAnsi="Times New Roman" w:eastAsia="仿宋_GB2312" w:cs="Times New Roman"/>
          <w:color w:val="auto"/>
          <w:sz w:val="32"/>
          <w:szCs w:val="32"/>
          <w:highlight w:val="none"/>
          <w:lang w:val="en-US" w:eastAsia="zh-CN"/>
        </w:rPr>
        <w:t>原本溪高新技术产业开发区环境保护局</w:t>
      </w:r>
      <w:r>
        <w:rPr>
          <w:rFonts w:hint="default" w:ascii="Times New Roman" w:hAnsi="Times New Roman" w:eastAsia="仿宋_GB2312" w:cs="Times New Roman"/>
          <w:color w:val="auto"/>
          <w:sz w:val="32"/>
          <w:szCs w:val="32"/>
          <w:highlight w:val="none"/>
          <w:lang w:val="en-US" w:eastAsia="zh-CN"/>
        </w:rPr>
        <w:t>出具的</w:t>
      </w:r>
      <w:r>
        <w:rPr>
          <w:rFonts w:hint="default" w:ascii="Times New Roman" w:hAnsi="Times New Roman" w:eastAsia="仿宋_GB2312" w:cs="Times New Roman"/>
          <w:color w:val="auto"/>
          <w:sz w:val="32"/>
          <w:szCs w:val="32"/>
          <w:highlight w:val="none"/>
          <w:lang w:val="en-US" w:eastAsia="zh-CN"/>
        </w:rPr>
        <w:t>批复</w:t>
      </w:r>
      <w:r>
        <w:rPr>
          <w:rFonts w:hint="default" w:ascii="Times New Roman" w:hAnsi="Times New Roman" w:eastAsia="仿宋_GB2312" w:cs="Times New Roman"/>
          <w:color w:val="auto"/>
          <w:sz w:val="32"/>
          <w:szCs w:val="32"/>
          <w:highlight w:val="none"/>
          <w:lang w:val="en-US" w:eastAsia="zh-CN"/>
        </w:rPr>
        <w:t>，现有实验室主要开展物理实验。本项目</w:t>
      </w:r>
      <w:r>
        <w:rPr>
          <w:rFonts w:hint="default" w:ascii="Times New Roman" w:hAnsi="Times New Roman" w:eastAsia="仿宋_GB2312" w:cs="Times New Roman"/>
          <w:color w:val="auto"/>
          <w:sz w:val="32"/>
          <w:highlight w:val="none"/>
          <w:lang w:val="en-US" w:eastAsia="zh-CN"/>
        </w:rPr>
        <w:t>主要建设内容为在现有研发楼二楼闲置房屋内扩建化学实验室，主要进行中药的物理化学实验检测，</w:t>
      </w:r>
      <w:r>
        <w:rPr>
          <w:rFonts w:hint="default" w:ascii="Times New Roman" w:hAnsi="Times New Roman" w:eastAsia="仿宋_GB2312" w:cs="Times New Roman"/>
          <w:color w:val="auto"/>
          <w:sz w:val="32"/>
          <w:highlight w:val="none"/>
          <w:lang w:val="en-US" w:eastAsia="zh-CN"/>
        </w:rPr>
        <w:t>同时在厂区西侧新建一座试剂库。</w:t>
      </w:r>
      <w:r>
        <w:rPr>
          <w:rFonts w:hint="default" w:ascii="Times New Roman" w:hAnsi="Times New Roman" w:eastAsia="仿宋_GB2312" w:cs="Times New Roman"/>
          <w:color w:val="auto"/>
          <w:sz w:val="32"/>
          <w:highlight w:val="none"/>
          <w:lang w:val="en-US" w:eastAsia="zh-CN"/>
        </w:rPr>
        <w:t>扩建后主要为好护士及其他中药企业提供中药的物理化学检测服务。</w:t>
      </w:r>
    </w:p>
    <w:p w14:paraId="57764012">
      <w:pPr>
        <w:keepNext w:val="0"/>
        <w:keepLines w:val="0"/>
        <w:pageBreakBefore w:val="0"/>
        <w:widowControl w:val="0"/>
        <w:kinsoku/>
        <w:wordWrap/>
        <w:overflowPunct/>
        <w:topLinePunct w:val="0"/>
        <w:bidi w:val="0"/>
        <w:adjustRightInd w:val="0"/>
        <w:snapToGrid w:val="0"/>
        <w:spacing w:line="570" w:lineRule="exact"/>
        <w:ind w:left="0" w:leftChars="0" w:firstLine="68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w:t>
      </w:r>
      <w:r>
        <w:rPr>
          <w:rFonts w:hint="default" w:ascii="Times New Roman" w:hAnsi="Times New Roman" w:eastAsia="仿宋_GB2312" w:cs="Times New Roman"/>
          <w:color w:val="auto"/>
          <w:sz w:val="32"/>
          <w:szCs w:val="32"/>
          <w:highlight w:val="none"/>
          <w:lang w:eastAsia="zh-CN"/>
        </w:rPr>
        <w:t>《产业结构调整指导目录（2024年本）》</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本项目属于“</w:t>
      </w:r>
      <w:r>
        <w:rPr>
          <w:rFonts w:hint="default" w:ascii="Times New Roman" w:hAnsi="Times New Roman" w:eastAsia="仿宋_GB2312" w:cs="Times New Roman"/>
          <w:color w:val="auto"/>
          <w:sz w:val="32"/>
          <w:szCs w:val="32"/>
          <w:highlight w:val="none"/>
          <w:lang w:val="en-US" w:eastAsia="zh-CN"/>
        </w:rPr>
        <w:t>鼓励类</w:t>
      </w:r>
      <w:r>
        <w:rPr>
          <w:rFonts w:hint="default" w:ascii="Times New Roman" w:hAnsi="Times New Roman" w:eastAsia="仿宋_GB2312" w:cs="Times New Roman"/>
          <w:color w:val="auto"/>
          <w:sz w:val="32"/>
          <w:szCs w:val="32"/>
          <w:highlight w:val="none"/>
          <w:lang w:val="en-US" w:eastAsia="zh-CN"/>
        </w:rPr>
        <w:t>”，符合国家产业政策。在严格落实报告表和本批复提出的各项生态环境保护措施和环境风险防控措施后，从生态环境角度，同意环境影响报告表中所列建设项目</w:t>
      </w:r>
      <w:r>
        <w:rPr>
          <w:rFonts w:hint="default" w:ascii="Times New Roman" w:hAnsi="Times New Roman" w:eastAsia="仿宋_GB2312" w:cs="Times New Roman"/>
          <w:color w:val="auto"/>
          <w:sz w:val="32"/>
          <w:szCs w:val="32"/>
          <w:highlight w:val="none"/>
          <w:lang w:val="zh-TW" w:eastAsia="zh-CN"/>
        </w:rPr>
        <w:t>地点、生产规模和环境保护措施进行建设。</w:t>
      </w:r>
    </w:p>
    <w:p w14:paraId="1CA8F5BB">
      <w:pPr>
        <w:keepNext w:val="0"/>
        <w:keepLines w:val="0"/>
        <w:pageBreakBefore w:val="0"/>
        <w:widowControl w:val="0"/>
        <w:kinsoku/>
        <w:wordWrap/>
        <w:overflowPunct/>
        <w:topLinePunct w:val="0"/>
        <w:bidi w:val="0"/>
        <w:adjustRightInd w:val="0"/>
        <w:snapToGrid w:val="0"/>
        <w:spacing w:line="570" w:lineRule="exact"/>
        <w:ind w:left="0" w:leftChars="0" w:firstLine="68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w:t>
      </w:r>
      <w:r>
        <w:rPr>
          <w:rFonts w:hint="default" w:ascii="Times New Roman" w:hAnsi="Times New Roman" w:eastAsia="仿宋_GB2312" w:cs="Times New Roman"/>
          <w:color w:val="auto"/>
          <w:sz w:val="32"/>
          <w:szCs w:val="32"/>
          <w:highlight w:val="none"/>
        </w:rPr>
        <w:t>项目建设应严格落实《报告表》提出的各项环境保护措施和风险防控措施，重点做好以下工作：</w:t>
      </w:r>
    </w:p>
    <w:p w14:paraId="44FFD93E">
      <w:pPr>
        <w:keepNext w:val="0"/>
        <w:keepLines w:val="0"/>
        <w:pageBreakBefore w:val="0"/>
        <w:widowControl w:val="0"/>
        <w:shd w:val="clear"/>
        <w:kinsoku/>
        <w:wordWrap/>
        <w:overflowPunct/>
        <w:topLinePunct w:val="0"/>
        <w:autoSpaceDE/>
        <w:autoSpaceDN/>
        <w:bidi w:val="0"/>
        <w:adjustRightInd w:val="0"/>
        <w:snapToGrid w:val="0"/>
        <w:spacing w:line="570" w:lineRule="exact"/>
        <w:ind w:firstLine="680" w:firstLineChars="200"/>
        <w:jc w:val="both"/>
        <w:textAlignment w:val="auto"/>
        <w:rPr>
          <w:rFonts w:hint="default" w:ascii="Times New Roman" w:hAnsi="Times New Roman" w:eastAsia="仿宋_GB2312" w:cs="Times New Roman"/>
          <w:bCs/>
          <w:snapToGrid w:val="0"/>
          <w:color w:val="000000"/>
          <w:spacing w:val="10"/>
          <w:kern w:val="2"/>
          <w:sz w:val="32"/>
          <w:szCs w:val="24"/>
          <w:highlight w:val="none"/>
          <w:lang w:val="en-US" w:eastAsia="zh-CN" w:bidi="ar-SA"/>
        </w:rPr>
      </w:pPr>
      <w:r>
        <w:rPr>
          <w:rFonts w:hint="default" w:ascii="Times New Roman" w:hAnsi="Times New Roman" w:eastAsia="仿宋_GB2312" w:cs="Times New Roman"/>
          <w:bCs/>
          <w:color w:val="auto"/>
          <w:sz w:val="32"/>
          <w:szCs w:val="32"/>
          <w:highlight w:val="none"/>
          <w:lang w:val="en-US" w:eastAsia="zh-CN"/>
        </w:rPr>
        <w:t>（一）严格落实施工期污染防治措施。</w:t>
      </w:r>
      <w:r>
        <w:rPr>
          <w:rFonts w:hint="default" w:ascii="Times New Roman" w:hAnsi="Times New Roman" w:eastAsia="仿宋_GB2312" w:cs="Times New Roman"/>
          <w:bCs w:val="0"/>
          <w:snapToGrid/>
          <w:spacing w:val="0"/>
          <w:kern w:val="2"/>
          <w:sz w:val="32"/>
          <w:szCs w:val="32"/>
          <w:highlight w:val="none"/>
          <w:lang w:val="en-US" w:eastAsia="zh-CN" w:bidi="ar-SA"/>
        </w:rPr>
        <w:t>施</w:t>
      </w:r>
      <w:r>
        <w:rPr>
          <w:rFonts w:hint="default" w:ascii="Times New Roman" w:hAnsi="Times New Roman" w:eastAsia="仿宋_GB2312" w:cs="Times New Roman"/>
          <w:b w:val="0"/>
          <w:bCs/>
          <w:color w:val="000000"/>
          <w:sz w:val="32"/>
          <w:szCs w:val="32"/>
          <w:highlight w:val="none"/>
          <w:lang w:val="en-US" w:eastAsia="zh-CN" w:bidi="ar"/>
        </w:rPr>
        <w:t>工期</w:t>
      </w:r>
      <w:r>
        <w:rPr>
          <w:rFonts w:hint="default" w:ascii="Times New Roman" w:hAnsi="Times New Roman" w:eastAsia="仿宋_GB2312" w:cs="Times New Roman"/>
          <w:b w:val="0"/>
          <w:bCs/>
          <w:color w:val="000000"/>
          <w:sz w:val="32"/>
          <w:szCs w:val="32"/>
          <w:highlight w:val="none"/>
          <w:lang w:val="en-US" w:eastAsia="zh-CN" w:bidi="ar"/>
        </w:rPr>
        <w:t>工地周围设置不低于</w:t>
      </w:r>
      <w:r>
        <w:rPr>
          <w:rFonts w:hint="default" w:ascii="Times New Roman" w:hAnsi="Times New Roman" w:eastAsia="仿宋_GB2312" w:cs="Times New Roman"/>
          <w:bCs/>
          <w:snapToGrid w:val="0"/>
          <w:spacing w:val="10"/>
          <w:sz w:val="32"/>
          <w:szCs w:val="32"/>
          <w:highlight w:val="none"/>
          <w:lang w:val="en-US" w:eastAsia="zh-CN" w:bidi="ar-SA"/>
        </w:rPr>
        <w:t>2.5</w:t>
      </w:r>
      <w:r>
        <w:rPr>
          <w:rFonts w:hint="default" w:ascii="Times New Roman" w:hAnsi="Times New Roman" w:eastAsia="仿宋_GB2312" w:cs="Times New Roman"/>
          <w:bCs/>
          <w:snapToGrid w:val="0"/>
          <w:spacing w:val="10"/>
          <w:sz w:val="32"/>
          <w:szCs w:val="32"/>
          <w:highlight w:val="none"/>
          <w:lang w:val="en-US" w:eastAsia="zh-CN" w:bidi="ar-SA"/>
        </w:rPr>
        <w:t>米的</w:t>
      </w:r>
      <w:r>
        <w:rPr>
          <w:rFonts w:hint="default" w:ascii="Times New Roman" w:hAnsi="Times New Roman" w:eastAsia="仿宋_GB2312" w:cs="Times New Roman"/>
          <w:b w:val="0"/>
          <w:bCs/>
          <w:color w:val="000000"/>
          <w:sz w:val="32"/>
          <w:szCs w:val="32"/>
          <w:highlight w:val="none"/>
          <w:lang w:val="en-US" w:eastAsia="zh-CN" w:bidi="ar"/>
        </w:rPr>
        <w:t>连续、密闭的围挡</w:t>
      </w:r>
      <w:r>
        <w:rPr>
          <w:rFonts w:hint="default" w:ascii="Times New Roman" w:hAnsi="Times New Roman" w:eastAsia="仿宋_GB2312" w:cs="Times New Roman"/>
          <w:bCs/>
          <w:snapToGrid w:val="0"/>
          <w:spacing w:val="10"/>
          <w:sz w:val="32"/>
          <w:szCs w:val="32"/>
          <w:highlight w:val="none"/>
          <w:lang w:val="en-US" w:eastAsia="zh-CN" w:bidi="ar-SA"/>
        </w:rPr>
        <w:t>，临时堆放场采取围挡、遮盖等防尘措施，运送散装物料、建筑垃圾和渣土应当采用密闭方式清运，运输车辆在除泥、冲洗干净后方可驶出作业场所，施工工地地面、车型道路应进行硬化等降尘处理后</w:t>
      </w:r>
      <w:r>
        <w:rPr>
          <w:rFonts w:hint="default" w:ascii="Times New Roman" w:hAnsi="Times New Roman" w:eastAsia="仿宋_GB2312" w:cs="Times New Roman"/>
          <w:b w:val="0"/>
          <w:bCs/>
          <w:color w:val="000000"/>
          <w:sz w:val="32"/>
          <w:szCs w:val="32"/>
          <w:highlight w:val="none"/>
          <w:lang w:val="en-US" w:eastAsia="zh-CN" w:bidi="ar"/>
        </w:rPr>
        <w:t>，</w:t>
      </w:r>
      <w:r>
        <w:rPr>
          <w:rFonts w:hint="default" w:ascii="Times New Roman" w:hAnsi="Times New Roman" w:eastAsia="仿宋_GB2312" w:cs="Times New Roman"/>
          <w:b w:val="0"/>
          <w:bCs/>
          <w:color w:val="000000"/>
          <w:sz w:val="32"/>
          <w:szCs w:val="32"/>
          <w:highlight w:val="none"/>
          <w:lang w:val="en-US" w:eastAsia="zh-CN" w:bidi="ar"/>
        </w:rPr>
        <w:t>施工期扬尘排放浓度应满足《施工及堆料场地扬尘排放标准》(DB21/2642-2016)表1中</w:t>
      </w:r>
      <w:r>
        <w:rPr>
          <w:rFonts w:hint="default" w:ascii="Times New Roman" w:hAnsi="Times New Roman" w:eastAsia="仿宋_GB2312" w:cs="Times New Roman"/>
          <w:b w:val="0"/>
          <w:bCs/>
          <w:color w:val="000000"/>
          <w:sz w:val="32"/>
          <w:szCs w:val="32"/>
          <w:highlight w:val="none"/>
          <w:lang w:val="en-US" w:eastAsia="zh-CN" w:bidi="ar"/>
        </w:rPr>
        <w:t>城镇建成区</w:t>
      </w:r>
      <w:r>
        <w:rPr>
          <w:rFonts w:hint="default" w:ascii="Times New Roman" w:hAnsi="Times New Roman" w:eastAsia="仿宋_GB2312" w:cs="Times New Roman"/>
          <w:b w:val="0"/>
          <w:bCs/>
          <w:color w:val="000000"/>
          <w:sz w:val="32"/>
          <w:szCs w:val="32"/>
          <w:highlight w:val="none"/>
          <w:lang w:val="en-US" w:eastAsia="zh-CN" w:bidi="ar"/>
        </w:rPr>
        <w:t>的浓度限值要求；施工</w:t>
      </w:r>
      <w:r>
        <w:rPr>
          <w:rFonts w:hint="default" w:ascii="Times New Roman" w:hAnsi="Times New Roman" w:eastAsia="仿宋_GB2312" w:cs="Times New Roman"/>
          <w:b w:val="0"/>
          <w:bCs/>
          <w:color w:val="000000"/>
          <w:sz w:val="32"/>
          <w:szCs w:val="32"/>
          <w:highlight w:val="none"/>
          <w:lang w:val="en-US" w:eastAsia="zh-CN" w:bidi="ar"/>
        </w:rPr>
        <w:t>废水</w:t>
      </w:r>
      <w:r>
        <w:rPr>
          <w:rFonts w:hint="default" w:ascii="Times New Roman" w:hAnsi="Times New Roman" w:eastAsia="仿宋_GB2312" w:cs="Times New Roman"/>
          <w:b w:val="0"/>
          <w:bCs/>
          <w:color w:val="000000"/>
          <w:sz w:val="32"/>
          <w:szCs w:val="32"/>
          <w:highlight w:val="none"/>
          <w:lang w:val="en-US" w:eastAsia="zh-CN" w:bidi="ar"/>
        </w:rPr>
        <w:t>经沉淀池沉淀后回用于冲洗骨料、施工机械等，不外排</w:t>
      </w:r>
      <w:r>
        <w:rPr>
          <w:rFonts w:hint="default" w:ascii="Times New Roman" w:hAnsi="Times New Roman" w:eastAsia="仿宋_GB2312" w:cs="Times New Roman"/>
          <w:b w:val="0"/>
          <w:bCs/>
          <w:color w:val="000000"/>
          <w:sz w:val="32"/>
          <w:szCs w:val="32"/>
          <w:highlight w:val="none"/>
          <w:lang w:val="en-US" w:eastAsia="zh-CN" w:bidi="ar"/>
        </w:rPr>
        <w:t>，</w:t>
      </w:r>
      <w:r>
        <w:rPr>
          <w:rFonts w:hint="default" w:ascii="Times New Roman" w:hAnsi="Times New Roman" w:eastAsia="仿宋_GB2312" w:cs="Times New Roman"/>
          <w:b w:val="0"/>
          <w:bCs/>
          <w:color w:val="000000"/>
          <w:sz w:val="32"/>
          <w:szCs w:val="32"/>
          <w:highlight w:val="none"/>
          <w:lang w:val="en-US" w:eastAsia="zh-CN" w:bidi="ar"/>
        </w:rPr>
        <w:t>施工人员生活污水排入厂区内现有化粪池</w:t>
      </w:r>
      <w:r>
        <w:rPr>
          <w:rFonts w:hint="default" w:ascii="Times New Roman" w:hAnsi="Times New Roman" w:eastAsia="仿宋_GB2312" w:cs="Times New Roman"/>
          <w:sz w:val="32"/>
          <w:szCs w:val="32"/>
          <w:highlight w:val="none"/>
          <w:lang w:val="en-US" w:eastAsia="zh-CN" w:bidi="ar"/>
        </w:rPr>
        <w:t>；施工期噪声通过</w:t>
      </w:r>
      <w:r>
        <w:rPr>
          <w:rFonts w:hint="default" w:ascii="Times New Roman" w:hAnsi="Times New Roman" w:eastAsia="仿宋_GB2312" w:cs="Times New Roman"/>
          <w:sz w:val="32"/>
          <w:szCs w:val="32"/>
          <w:highlight w:val="none"/>
          <w:lang w:val="en-US" w:eastAsia="zh-CN" w:bidi="ar"/>
        </w:rPr>
        <w:t>选用低噪声设备、合理安排工作时间</w:t>
      </w:r>
      <w:r>
        <w:rPr>
          <w:rFonts w:hint="default" w:ascii="Times New Roman" w:hAnsi="Times New Roman" w:eastAsia="仿宋_GB2312" w:cs="Times New Roman"/>
          <w:sz w:val="32"/>
          <w:szCs w:val="32"/>
          <w:highlight w:val="none"/>
          <w:lang w:val="en-US" w:eastAsia="zh-CN" w:bidi="ar"/>
        </w:rPr>
        <w:t>，夜间禁止施工</w:t>
      </w:r>
      <w:r>
        <w:rPr>
          <w:rFonts w:hint="default" w:ascii="Times New Roman" w:hAnsi="Times New Roman" w:eastAsia="仿宋_GB2312" w:cs="Times New Roman"/>
          <w:sz w:val="32"/>
          <w:szCs w:val="32"/>
          <w:highlight w:val="none"/>
          <w:lang w:val="en-US" w:eastAsia="zh-CN" w:bidi="ar"/>
        </w:rPr>
        <w:t>后，施工</w:t>
      </w:r>
      <w:r>
        <w:rPr>
          <w:rFonts w:hint="default" w:ascii="Times New Roman" w:hAnsi="Times New Roman" w:eastAsia="仿宋_GB2312" w:cs="Times New Roman"/>
          <w:sz w:val="32"/>
          <w:szCs w:val="32"/>
          <w:highlight w:val="none"/>
          <w:lang w:val="en-US" w:eastAsia="zh-CN" w:bidi="ar"/>
        </w:rPr>
        <w:t>厂</w:t>
      </w:r>
      <w:r>
        <w:rPr>
          <w:rFonts w:hint="default" w:ascii="Times New Roman" w:hAnsi="Times New Roman" w:eastAsia="仿宋_GB2312" w:cs="Times New Roman"/>
          <w:sz w:val="32"/>
          <w:szCs w:val="32"/>
          <w:highlight w:val="none"/>
          <w:lang w:val="en-US" w:eastAsia="zh-CN" w:bidi="ar"/>
        </w:rPr>
        <w:t>界噪声应满足《建筑施工场界环境噪声排放标准》(GB12523-2011)相关限值要求</w:t>
      </w:r>
      <w:r>
        <w:rPr>
          <w:rFonts w:hint="default" w:ascii="Times New Roman" w:hAnsi="Times New Roman" w:eastAsia="仿宋_GB2312" w:cs="Times New Roman"/>
          <w:bCs/>
          <w:snapToGrid w:val="0"/>
          <w:color w:val="000000"/>
          <w:spacing w:val="10"/>
          <w:kern w:val="2"/>
          <w:sz w:val="32"/>
          <w:szCs w:val="24"/>
          <w:highlight w:val="none"/>
          <w:lang w:val="en-US" w:eastAsia="zh-CN" w:bidi="ar-SA"/>
        </w:rPr>
        <w:t>；施工期产生的建筑垃圾清运至政府指定地点堆放处理</w:t>
      </w:r>
      <w:r>
        <w:rPr>
          <w:rFonts w:hint="default" w:ascii="Times New Roman" w:hAnsi="Times New Roman" w:eastAsia="仿宋_GB2312" w:cs="Times New Roman"/>
          <w:bCs/>
          <w:snapToGrid w:val="0"/>
          <w:color w:val="000000"/>
          <w:spacing w:val="10"/>
          <w:kern w:val="2"/>
          <w:sz w:val="32"/>
          <w:szCs w:val="24"/>
          <w:highlight w:val="none"/>
          <w:lang w:val="en-US" w:eastAsia="zh-CN" w:bidi="ar-SA"/>
        </w:rPr>
        <w:t>，施工人员生活垃圾</w:t>
      </w:r>
      <w:r>
        <w:rPr>
          <w:rFonts w:hint="default" w:ascii="Times New Roman" w:hAnsi="Times New Roman" w:eastAsia="仿宋_GB2312" w:cs="Times New Roman"/>
          <w:bCs/>
          <w:snapToGrid w:val="0"/>
          <w:color w:val="000000"/>
          <w:spacing w:val="10"/>
          <w:kern w:val="2"/>
          <w:sz w:val="32"/>
          <w:szCs w:val="24"/>
          <w:highlight w:val="none"/>
          <w:lang w:val="en-US" w:eastAsia="zh-CN" w:bidi="ar-SA"/>
        </w:rPr>
        <w:t>收集后</w:t>
      </w:r>
      <w:r>
        <w:rPr>
          <w:rFonts w:hint="default" w:ascii="Times New Roman" w:hAnsi="Times New Roman" w:eastAsia="仿宋_GB2312" w:cs="Times New Roman"/>
          <w:bCs/>
          <w:snapToGrid w:val="0"/>
          <w:color w:val="000000"/>
          <w:spacing w:val="10"/>
          <w:kern w:val="2"/>
          <w:sz w:val="32"/>
          <w:szCs w:val="24"/>
          <w:highlight w:val="none"/>
          <w:lang w:val="en-US" w:eastAsia="zh-CN" w:bidi="ar-SA"/>
        </w:rPr>
        <w:t>交由环卫部门统一处理。</w:t>
      </w:r>
    </w:p>
    <w:p w14:paraId="78C53F3C">
      <w:pPr>
        <w:keepNext w:val="0"/>
        <w:keepLines w:val="0"/>
        <w:pageBreakBefore w:val="0"/>
        <w:widowControl w:val="0"/>
        <w:kinsoku/>
        <w:wordWrap/>
        <w:overflowPunct/>
        <w:topLinePunct w:val="0"/>
        <w:bidi w:val="0"/>
        <w:adjustRightInd w:val="0"/>
        <w:snapToGrid w:val="0"/>
        <w:spacing w:line="570" w:lineRule="exact"/>
        <w:ind w:left="0" w:leftChars="0" w:firstLine="680" w:firstLineChars="200"/>
        <w:jc w:val="both"/>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lang w:val="en-US" w:eastAsia="zh-CN"/>
        </w:rPr>
        <w:t>二</w:t>
      </w:r>
      <w:r>
        <w:rPr>
          <w:rFonts w:hint="default"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严格落实大气污染防治措施。</w:t>
      </w:r>
      <w:r>
        <w:rPr>
          <w:rFonts w:hint="default" w:ascii="Times New Roman" w:hAnsi="Times New Roman" w:eastAsia="仿宋_GB2312" w:cs="Times New Roman"/>
          <w:bCs/>
          <w:color w:val="auto"/>
          <w:sz w:val="32"/>
          <w:szCs w:val="32"/>
          <w:highlight w:val="none"/>
          <w:lang w:val="en-US" w:eastAsia="zh-CN"/>
        </w:rPr>
        <w:t>项目运营期实验室产生的废气通过通风橱收集</w:t>
      </w:r>
      <w:r>
        <w:rPr>
          <w:rFonts w:hint="default" w:ascii="Times New Roman" w:hAnsi="Times New Roman" w:eastAsia="仿宋_GB2312" w:cs="Times New Roman"/>
          <w:bCs/>
          <w:color w:val="auto"/>
          <w:sz w:val="32"/>
          <w:szCs w:val="32"/>
          <w:highlight w:val="none"/>
          <w:lang w:val="en-US" w:eastAsia="zh-CN"/>
        </w:rPr>
        <w:t>后</w:t>
      </w:r>
      <w:r>
        <w:rPr>
          <w:rFonts w:hint="default" w:ascii="Times New Roman" w:hAnsi="Times New Roman" w:eastAsia="仿宋_GB2312" w:cs="Times New Roman"/>
          <w:bCs/>
          <w:color w:val="auto"/>
          <w:sz w:val="32"/>
          <w:szCs w:val="32"/>
          <w:highlight w:val="none"/>
          <w:lang w:val="en-US" w:eastAsia="zh-CN"/>
        </w:rPr>
        <w:t>，经二级活性炭吸附装置处理后，由20m高排气筒</w:t>
      </w:r>
      <w:r>
        <w:rPr>
          <w:rFonts w:hint="default"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lang w:val="en-US" w:eastAsia="zh-CN"/>
        </w:rPr>
        <w:t>DA001</w:t>
      </w:r>
      <w:r>
        <w:rPr>
          <w:rFonts w:hint="default"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lang w:val="en-US" w:eastAsia="zh-CN"/>
        </w:rPr>
        <w:t>排放</w:t>
      </w:r>
      <w:r>
        <w:rPr>
          <w:rFonts w:hint="default" w:ascii="Times New Roman" w:hAnsi="Times New Roman" w:eastAsia="仿宋_GB2312" w:cs="Times New Roman"/>
          <w:bCs/>
          <w:color w:val="auto"/>
          <w:sz w:val="32"/>
          <w:szCs w:val="32"/>
          <w:highlight w:val="none"/>
          <w:lang w:val="en-US" w:eastAsia="zh-CN"/>
        </w:rPr>
        <w:t>，废气</w:t>
      </w:r>
      <w:r>
        <w:rPr>
          <w:rFonts w:hint="default" w:ascii="Times New Roman" w:hAnsi="Times New Roman" w:eastAsia="仿宋_GB2312" w:cs="Times New Roman"/>
          <w:bCs/>
          <w:color w:val="auto"/>
          <w:sz w:val="32"/>
          <w:szCs w:val="32"/>
          <w:highlight w:val="none"/>
          <w:lang w:val="en-US" w:eastAsia="zh-CN"/>
        </w:rPr>
        <w:t>排放</w:t>
      </w:r>
      <w:r>
        <w:rPr>
          <w:rFonts w:hint="default" w:ascii="Times New Roman" w:hAnsi="Times New Roman" w:eastAsia="仿宋_GB2312" w:cs="Times New Roman"/>
          <w:bCs/>
          <w:color w:val="auto"/>
          <w:sz w:val="32"/>
          <w:szCs w:val="32"/>
          <w:highlight w:val="none"/>
          <w:lang w:val="en-US" w:eastAsia="zh-CN"/>
        </w:rPr>
        <w:t>应</w:t>
      </w:r>
      <w:r>
        <w:rPr>
          <w:rFonts w:hint="default" w:ascii="Times New Roman" w:hAnsi="Times New Roman" w:eastAsia="仿宋_GB2312" w:cs="Times New Roman"/>
          <w:bCs/>
          <w:color w:val="auto"/>
          <w:sz w:val="32"/>
          <w:szCs w:val="32"/>
          <w:highlight w:val="none"/>
          <w:lang w:val="en-US" w:eastAsia="zh-CN"/>
        </w:rPr>
        <w:t>满足《大气污染物综合排放标准》（GB16297-1996）表2标准限值要求</w:t>
      </w:r>
      <w:r>
        <w:rPr>
          <w:rFonts w:hint="default"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lang w:val="en-US" w:eastAsia="zh-CN"/>
        </w:rPr>
        <w:t>《恶臭污染物排放标准》（GB14554-93</w:t>
      </w:r>
      <w:r>
        <w:rPr>
          <w:rFonts w:hint="eastAsia"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lang w:val="en-US" w:eastAsia="zh-CN"/>
        </w:rPr>
        <w:t>中表2标准限值要求</w:t>
      </w:r>
      <w:r>
        <w:rPr>
          <w:rFonts w:hint="default"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lang w:val="en-US" w:eastAsia="zh-CN"/>
        </w:rPr>
        <w:t>以及</w:t>
      </w:r>
      <w:r>
        <w:rPr>
          <w:rFonts w:hint="default" w:ascii="Times New Roman" w:hAnsi="Times New Roman" w:eastAsia="仿宋_GB2312" w:cs="Times New Roman"/>
          <w:bCs/>
          <w:color w:val="auto"/>
          <w:sz w:val="32"/>
          <w:szCs w:val="32"/>
          <w:highlight w:val="none"/>
          <w:lang w:val="en-US" w:eastAsia="zh-CN"/>
        </w:rPr>
        <w:t>《石油化学工业污染物排放标准》（GB31571-2015）（含 2024 年修改单）中表6标准限值要求。</w:t>
      </w:r>
      <w:r>
        <w:rPr>
          <w:rFonts w:hint="default" w:ascii="Times New Roman" w:hAnsi="Times New Roman" w:eastAsia="仿宋_GB2312" w:cs="Times New Roman"/>
          <w:b w:val="0"/>
          <w:bCs w:val="0"/>
          <w:snapToGrid w:val="0"/>
          <w:color w:val="000000"/>
          <w:spacing w:val="10"/>
          <w:kern w:val="28"/>
          <w:sz w:val="32"/>
          <w:szCs w:val="32"/>
          <w:highlight w:val="none"/>
          <w:lang w:val="en-US" w:eastAsia="zh-CN" w:bidi="ar-SA"/>
        </w:rPr>
        <w:t>厂区内非甲烷总烃</w:t>
      </w:r>
      <w:r>
        <w:rPr>
          <w:rFonts w:hint="default" w:ascii="Times New Roman" w:hAnsi="Times New Roman" w:eastAsia="仿宋_GB2312" w:cs="Times New Roman"/>
          <w:b w:val="0"/>
          <w:bCs w:val="0"/>
          <w:snapToGrid w:val="0"/>
          <w:color w:val="000000"/>
          <w:spacing w:val="10"/>
          <w:kern w:val="28"/>
          <w:sz w:val="32"/>
          <w:szCs w:val="32"/>
          <w:highlight w:val="none"/>
          <w:lang w:val="en-US" w:eastAsia="zh-CN" w:bidi="ar-SA"/>
        </w:rPr>
        <w:t>排放浓度应满足</w:t>
      </w:r>
      <w:r>
        <w:rPr>
          <w:rFonts w:hint="default" w:ascii="Times New Roman" w:hAnsi="Times New Roman" w:eastAsia="仿宋_GB2312" w:cs="Times New Roman"/>
          <w:b w:val="0"/>
          <w:bCs w:val="0"/>
          <w:snapToGrid w:val="0"/>
          <w:color w:val="000000"/>
          <w:spacing w:val="10"/>
          <w:kern w:val="28"/>
          <w:sz w:val="32"/>
          <w:szCs w:val="32"/>
          <w:highlight w:val="none"/>
          <w:lang w:val="en-US" w:eastAsia="zh-CN" w:bidi="ar-SA"/>
        </w:rPr>
        <w:t>《挥发性有机物无组织排放控制标准》（GB37822-2019）附录A无组织排放限值要求</w:t>
      </w:r>
      <w:r>
        <w:rPr>
          <w:rFonts w:hint="default" w:ascii="Times New Roman" w:hAnsi="Times New Roman" w:eastAsia="仿宋_GB2312" w:cs="Times New Roman"/>
          <w:b w:val="0"/>
          <w:bCs w:val="0"/>
          <w:snapToGrid w:val="0"/>
          <w:color w:val="000000"/>
          <w:spacing w:val="10"/>
          <w:kern w:val="28"/>
          <w:sz w:val="32"/>
          <w:szCs w:val="32"/>
          <w:highlight w:val="none"/>
          <w:lang w:val="en-US" w:eastAsia="zh-CN" w:bidi="ar-SA"/>
        </w:rPr>
        <w:t>，</w:t>
      </w:r>
      <w:r>
        <w:rPr>
          <w:rFonts w:hint="default" w:ascii="Times New Roman" w:hAnsi="Times New Roman" w:eastAsia="仿宋_GB2312" w:cs="Times New Roman"/>
          <w:bCs/>
          <w:color w:val="auto"/>
          <w:sz w:val="32"/>
          <w:szCs w:val="32"/>
          <w:highlight w:val="none"/>
          <w:lang w:val="en-US" w:eastAsia="zh-CN"/>
        </w:rPr>
        <w:t>厂界无组织</w:t>
      </w:r>
      <w:r>
        <w:rPr>
          <w:rFonts w:hint="default" w:ascii="Times New Roman" w:hAnsi="Times New Roman" w:eastAsia="仿宋_GB2312" w:cs="Times New Roman"/>
          <w:bCs/>
          <w:color w:val="auto"/>
          <w:sz w:val="32"/>
          <w:szCs w:val="32"/>
          <w:highlight w:val="none"/>
          <w:lang w:val="en-US" w:eastAsia="zh-CN"/>
        </w:rPr>
        <w:t>废气</w:t>
      </w:r>
      <w:r>
        <w:rPr>
          <w:rFonts w:hint="default" w:ascii="Times New Roman" w:hAnsi="Times New Roman" w:eastAsia="仿宋_GB2312" w:cs="Times New Roman"/>
          <w:bCs/>
          <w:color w:val="auto"/>
          <w:sz w:val="32"/>
          <w:szCs w:val="32"/>
          <w:highlight w:val="none"/>
          <w:lang w:val="en-US" w:eastAsia="zh-CN"/>
        </w:rPr>
        <w:t>排放浓度应满足《大气污染物综合排放标准》(</w:t>
      </w:r>
      <w:r>
        <w:rPr>
          <w:rFonts w:hint="default" w:ascii="Times New Roman" w:hAnsi="Times New Roman" w:eastAsia="仿宋_GB2312" w:cs="Times New Roman"/>
          <w:bCs/>
          <w:color w:val="auto"/>
          <w:sz w:val="32"/>
          <w:szCs w:val="32"/>
          <w:highlight w:val="none"/>
          <w:lang w:val="en-US" w:eastAsia="en-US"/>
        </w:rPr>
        <w:t>GB16297-1996</w:t>
      </w:r>
      <w:r>
        <w:rPr>
          <w:rFonts w:hint="default" w:ascii="Times New Roman" w:hAnsi="Times New Roman" w:eastAsia="仿宋_GB2312" w:cs="Times New Roman"/>
          <w:bCs/>
          <w:color w:val="auto"/>
          <w:sz w:val="32"/>
          <w:szCs w:val="32"/>
          <w:highlight w:val="none"/>
          <w:lang w:val="en-US" w:eastAsia="zh-CN"/>
        </w:rPr>
        <w:t>)中相关</w:t>
      </w:r>
      <w:r>
        <w:rPr>
          <w:rFonts w:hint="default" w:ascii="Times New Roman" w:hAnsi="Times New Roman" w:eastAsia="仿宋_GB2312" w:cs="Times New Roman"/>
          <w:bCs/>
          <w:color w:val="auto"/>
          <w:sz w:val="32"/>
          <w:szCs w:val="32"/>
          <w:highlight w:val="none"/>
          <w:lang w:val="en-US" w:eastAsia="zh-CN"/>
        </w:rPr>
        <w:t>限值</w:t>
      </w:r>
      <w:r>
        <w:rPr>
          <w:rFonts w:hint="default" w:ascii="Times New Roman" w:hAnsi="Times New Roman" w:eastAsia="仿宋_GB2312" w:cs="Times New Roman"/>
          <w:bCs/>
          <w:color w:val="auto"/>
          <w:sz w:val="32"/>
          <w:szCs w:val="32"/>
          <w:highlight w:val="none"/>
          <w:lang w:val="en-US" w:eastAsia="zh-CN"/>
        </w:rPr>
        <w:t>要求</w:t>
      </w:r>
      <w:r>
        <w:rPr>
          <w:rFonts w:hint="default" w:ascii="Times New Roman" w:hAnsi="Times New Roman" w:eastAsia="仿宋_GB2312" w:cs="Times New Roman"/>
          <w:bCs/>
          <w:color w:val="auto"/>
          <w:sz w:val="32"/>
          <w:szCs w:val="32"/>
          <w:highlight w:val="none"/>
          <w:lang w:val="en-US" w:eastAsia="zh-CN"/>
        </w:rPr>
        <w:t>及</w:t>
      </w:r>
      <w:r>
        <w:rPr>
          <w:rFonts w:hint="default" w:ascii="Times New Roman" w:hAnsi="Times New Roman" w:eastAsia="仿宋_GB2312" w:cs="Times New Roman"/>
          <w:bCs/>
          <w:color w:val="auto"/>
          <w:sz w:val="32"/>
          <w:szCs w:val="32"/>
          <w:highlight w:val="none"/>
          <w:lang w:val="en-US" w:eastAsia="zh-CN"/>
        </w:rPr>
        <w:t>《恶臭污染物排放标准》（GB14554-93）中表1标准</w:t>
      </w:r>
      <w:r>
        <w:rPr>
          <w:rFonts w:hint="default" w:ascii="Times New Roman" w:hAnsi="Times New Roman" w:eastAsia="仿宋_GB2312" w:cs="Times New Roman"/>
          <w:bCs/>
          <w:color w:val="auto"/>
          <w:sz w:val="32"/>
          <w:szCs w:val="32"/>
          <w:highlight w:val="none"/>
          <w:lang w:val="en-US" w:eastAsia="zh-CN"/>
        </w:rPr>
        <w:t>限值</w:t>
      </w:r>
      <w:r>
        <w:rPr>
          <w:rFonts w:hint="default" w:ascii="Times New Roman" w:hAnsi="Times New Roman" w:eastAsia="仿宋_GB2312" w:cs="Times New Roman"/>
          <w:bCs/>
          <w:color w:val="auto"/>
          <w:sz w:val="32"/>
          <w:szCs w:val="32"/>
          <w:highlight w:val="none"/>
          <w:lang w:val="en-US" w:eastAsia="zh-CN"/>
        </w:rPr>
        <w:t>要求。</w:t>
      </w:r>
    </w:p>
    <w:p w14:paraId="66AC389B">
      <w:pPr>
        <w:keepNext w:val="0"/>
        <w:keepLines w:val="0"/>
        <w:pageBreakBefore w:val="0"/>
        <w:kinsoku/>
        <w:wordWrap/>
        <w:overflowPunct/>
        <w:topLinePunct w:val="0"/>
        <w:autoSpaceDE/>
        <w:autoSpaceDN/>
        <w:bidi w:val="0"/>
        <w:adjustRightInd w:val="0"/>
        <w:snapToGrid w:val="0"/>
        <w:spacing w:before="219" w:beforeLines="50" w:line="570" w:lineRule="exact"/>
        <w:ind w:left="0" w:leftChars="0" w:firstLine="680" w:firstLineChars="200"/>
        <w:jc w:val="both"/>
        <w:textAlignment w:val="auto"/>
        <w:rPr>
          <w:rFonts w:hint="default" w:ascii="Times New Roman" w:hAnsi="Times New Roman" w:eastAsia="仿宋_GB2312" w:cs="Times New Roman"/>
          <w:bCs/>
          <w:snapToGrid w:val="0"/>
          <w:color w:val="auto"/>
          <w:spacing w:val="10"/>
          <w:sz w:val="32"/>
          <w:szCs w:val="32"/>
          <w:highlight w:val="none"/>
          <w:lang w:val="en-US" w:eastAsia="zh-CN" w:bidi="ar-SA"/>
        </w:rPr>
      </w:pPr>
      <w:r>
        <w:rPr>
          <w:rFonts w:hint="default" w:ascii="Times New Roman" w:hAnsi="Times New Roman" w:eastAsia="仿宋_GB2312" w:cs="Times New Roman"/>
          <w:bCs/>
          <w:snapToGrid w:val="0"/>
          <w:color w:val="auto"/>
          <w:spacing w:val="10"/>
          <w:kern w:val="0"/>
          <w:sz w:val="32"/>
          <w:szCs w:val="32"/>
          <w:highlight w:val="none"/>
          <w:lang w:val="en-US" w:eastAsia="zh-CN" w:bidi="ar-SA"/>
        </w:rPr>
        <w:t>（</w:t>
      </w:r>
      <w:r>
        <w:rPr>
          <w:rFonts w:hint="default" w:ascii="Times New Roman" w:hAnsi="Times New Roman" w:eastAsia="仿宋_GB2312" w:cs="Times New Roman"/>
          <w:bCs/>
          <w:snapToGrid w:val="0"/>
          <w:color w:val="auto"/>
          <w:spacing w:val="10"/>
          <w:kern w:val="0"/>
          <w:sz w:val="32"/>
          <w:szCs w:val="32"/>
          <w:highlight w:val="none"/>
          <w:lang w:val="en-US" w:eastAsia="zh-CN" w:bidi="ar-SA"/>
        </w:rPr>
        <w:t>三</w:t>
      </w:r>
      <w:r>
        <w:rPr>
          <w:rFonts w:hint="default" w:ascii="Times New Roman" w:hAnsi="Times New Roman" w:eastAsia="仿宋_GB2312" w:cs="Times New Roman"/>
          <w:bCs/>
          <w:snapToGrid w:val="0"/>
          <w:color w:val="auto"/>
          <w:spacing w:val="10"/>
          <w:kern w:val="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en-US" w:eastAsia="zh-CN" w:bidi="ar-SA"/>
        </w:rPr>
        <w:t>严格落实水污染防治措施。</w:t>
      </w:r>
      <w:r>
        <w:rPr>
          <w:rFonts w:hint="default" w:ascii="Times New Roman" w:hAnsi="Times New Roman" w:eastAsia="仿宋_GB2312" w:cs="Times New Roman"/>
          <w:bCs/>
          <w:color w:val="auto"/>
          <w:sz w:val="32"/>
          <w:szCs w:val="32"/>
          <w:highlight w:val="none"/>
          <w:lang w:val="en-US" w:eastAsia="zh-CN"/>
        </w:rPr>
        <w:t>项目</w:t>
      </w:r>
      <w:r>
        <w:rPr>
          <w:rFonts w:hint="default" w:ascii="Times New Roman" w:hAnsi="Times New Roman" w:eastAsia="仿宋_GB2312" w:cs="Times New Roman"/>
          <w:bCs/>
          <w:snapToGrid w:val="0"/>
          <w:color w:val="auto"/>
          <w:spacing w:val="10"/>
          <w:sz w:val="32"/>
          <w:szCs w:val="32"/>
          <w:highlight w:val="none"/>
          <w:lang w:val="en-US" w:eastAsia="zh-CN" w:bidi="ar-SA"/>
        </w:rPr>
        <w:t>运营期实验室地面清洁废水及生活废水排入化粪池（现有）处理后，经市政污水管网排入沈溪新城污水处理厂统一处理，废水排放应满足《辽宁省污水综合排放标准》(DB21/1627-2008)表2及《污水综合排放标准》（GB8978-1996）标准限值要求。</w:t>
      </w:r>
    </w:p>
    <w:p w14:paraId="442772B3">
      <w:pPr>
        <w:keepNext w:val="0"/>
        <w:keepLines w:val="0"/>
        <w:pageBreakBefore w:val="0"/>
        <w:kinsoku/>
        <w:wordWrap/>
        <w:topLinePunct w:val="0"/>
        <w:bidi w:val="0"/>
        <w:adjustRightInd w:val="0"/>
        <w:snapToGrid w:val="0"/>
        <w:spacing w:line="570" w:lineRule="exact"/>
        <w:ind w:firstLine="680" w:firstLineChars="200"/>
        <w:jc w:val="both"/>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snapToGrid w:val="0"/>
          <w:color w:val="auto"/>
          <w:spacing w:val="10"/>
          <w:kern w:val="0"/>
          <w:sz w:val="32"/>
          <w:szCs w:val="32"/>
          <w:highlight w:val="none"/>
          <w:lang w:val="en-US" w:eastAsia="zh-CN" w:bidi="ar-SA"/>
        </w:rPr>
        <w:t>（</w:t>
      </w:r>
      <w:r>
        <w:rPr>
          <w:rFonts w:hint="default" w:ascii="Times New Roman" w:hAnsi="Times New Roman" w:eastAsia="仿宋_GB2312" w:cs="Times New Roman"/>
          <w:bCs/>
          <w:snapToGrid w:val="0"/>
          <w:color w:val="auto"/>
          <w:spacing w:val="10"/>
          <w:kern w:val="0"/>
          <w:sz w:val="32"/>
          <w:szCs w:val="32"/>
          <w:highlight w:val="none"/>
          <w:lang w:val="en-US" w:eastAsia="zh-CN" w:bidi="ar-SA"/>
        </w:rPr>
        <w:t>四</w:t>
      </w:r>
      <w:r>
        <w:rPr>
          <w:rFonts w:hint="default" w:ascii="Times New Roman" w:hAnsi="Times New Roman" w:eastAsia="仿宋_GB2312" w:cs="Times New Roman"/>
          <w:bCs/>
          <w:snapToGrid w:val="0"/>
          <w:color w:val="auto"/>
          <w:spacing w:val="10"/>
          <w:kern w:val="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zh-TW" w:eastAsia="zh-CN" w:bidi="ar-SA"/>
        </w:rPr>
        <w:t>严格落实噪声污染防治措施</w:t>
      </w:r>
      <w:r>
        <w:rPr>
          <w:rFonts w:hint="default" w:ascii="Times New Roman" w:hAnsi="Times New Roman" w:eastAsia="仿宋_GB2312" w:cs="Times New Roman"/>
          <w:bCs/>
          <w:snapToGrid w:val="0"/>
          <w:color w:val="auto"/>
          <w:spacing w:val="10"/>
          <w:sz w:val="32"/>
          <w:szCs w:val="32"/>
          <w:highlight w:val="none"/>
          <w:lang w:val="en-US" w:eastAsia="zh-CN" w:bidi="ar-SA"/>
        </w:rPr>
        <w:t>。项目运营期</w:t>
      </w:r>
      <w:r>
        <w:rPr>
          <w:rFonts w:hint="default" w:ascii="Times New Roman" w:hAnsi="Times New Roman" w:eastAsia="仿宋_GB2312" w:cs="Times New Roman"/>
          <w:bCs/>
          <w:snapToGrid w:val="0"/>
          <w:color w:val="auto"/>
          <w:spacing w:val="10"/>
          <w:sz w:val="32"/>
          <w:szCs w:val="32"/>
          <w:highlight w:val="none"/>
          <w:lang w:val="en-US" w:eastAsia="zh-Hans" w:bidi="ar-SA"/>
        </w:rPr>
        <w:t>选用低噪声设备</w:t>
      </w:r>
      <w:r>
        <w:rPr>
          <w:rFonts w:hint="default" w:ascii="Times New Roman" w:hAnsi="Times New Roman" w:eastAsia="仿宋_GB2312" w:cs="Times New Roman"/>
          <w:bCs/>
          <w:snapToGrid w:val="0"/>
          <w:color w:val="auto"/>
          <w:spacing w:val="10"/>
          <w:sz w:val="32"/>
          <w:szCs w:val="32"/>
          <w:highlight w:val="none"/>
          <w:lang w:val="en-US" w:eastAsia="zh-CN" w:bidi="ar-SA"/>
        </w:rPr>
        <w:t>、基础减振、厂房隔声</w:t>
      </w:r>
      <w:r>
        <w:rPr>
          <w:rFonts w:hint="default" w:ascii="Times New Roman" w:hAnsi="Times New Roman" w:eastAsia="仿宋_GB2312" w:cs="Times New Roman"/>
          <w:bCs/>
          <w:snapToGrid w:val="0"/>
          <w:color w:val="auto"/>
          <w:spacing w:val="10"/>
          <w:sz w:val="32"/>
          <w:szCs w:val="32"/>
          <w:highlight w:val="none"/>
          <w:lang w:val="en-US" w:eastAsia="zh-CN" w:bidi="ar-SA"/>
        </w:rPr>
        <w:t>等措施后，运营期厂界噪声</w:t>
      </w:r>
      <w:r>
        <w:rPr>
          <w:rFonts w:hint="default" w:ascii="Times New Roman" w:hAnsi="Times New Roman" w:eastAsia="仿宋_GB2312" w:cs="Times New Roman"/>
          <w:bCs/>
          <w:snapToGrid w:val="0"/>
          <w:color w:val="auto"/>
          <w:spacing w:val="10"/>
          <w:sz w:val="32"/>
          <w:szCs w:val="32"/>
          <w:highlight w:val="none"/>
          <w:lang w:val="en-US" w:eastAsia="zh-CN" w:bidi="ar-SA"/>
        </w:rPr>
        <w:t>应</w:t>
      </w:r>
      <w:r>
        <w:rPr>
          <w:rFonts w:hint="default" w:ascii="Times New Roman" w:hAnsi="Times New Roman" w:eastAsia="仿宋_GB2312" w:cs="Times New Roman"/>
          <w:bCs/>
          <w:snapToGrid w:val="0"/>
          <w:color w:val="auto"/>
          <w:spacing w:val="10"/>
          <w:sz w:val="32"/>
          <w:szCs w:val="32"/>
          <w:highlight w:val="none"/>
          <w:lang w:val="en-US" w:eastAsia="zh-CN" w:bidi="ar-SA"/>
        </w:rPr>
        <w:t>满足《工业企业厂界环境噪声排放标准》</w:t>
      </w:r>
      <w:r>
        <w:rPr>
          <w:rFonts w:hint="default" w:ascii="Times New Roman" w:hAnsi="Times New Roman" w:eastAsia="仿宋_GB2312" w:cs="Times New Roman"/>
          <w:bCs/>
          <w:snapToGrid w:val="0"/>
          <w:color w:val="auto"/>
          <w:spacing w:val="1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en-US" w:eastAsia="zh-CN" w:bidi="ar-SA"/>
        </w:rPr>
        <w:t>GB12348-2008</w:t>
      </w:r>
      <w:r>
        <w:rPr>
          <w:rFonts w:hint="default" w:ascii="Times New Roman" w:hAnsi="Times New Roman" w:eastAsia="仿宋_GB2312" w:cs="Times New Roman"/>
          <w:bCs/>
          <w:snapToGrid w:val="0"/>
          <w:color w:val="auto"/>
          <w:spacing w:val="1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en-US" w:eastAsia="zh-CN" w:bidi="ar-SA"/>
        </w:rPr>
        <w:t>3</w:t>
      </w:r>
      <w:r>
        <w:rPr>
          <w:rFonts w:hint="default" w:ascii="Times New Roman" w:hAnsi="Times New Roman" w:eastAsia="仿宋_GB2312" w:cs="Times New Roman"/>
          <w:bCs/>
          <w:snapToGrid w:val="0"/>
          <w:color w:val="auto"/>
          <w:spacing w:val="10"/>
          <w:sz w:val="32"/>
          <w:szCs w:val="32"/>
          <w:highlight w:val="none"/>
          <w:lang w:val="en-US" w:eastAsia="zh-CN" w:bidi="ar-SA"/>
        </w:rPr>
        <w:t>类</w:t>
      </w:r>
      <w:r>
        <w:rPr>
          <w:rFonts w:hint="default" w:ascii="Times New Roman" w:hAnsi="Times New Roman" w:eastAsia="仿宋_GB2312" w:cs="Times New Roman"/>
          <w:bCs/>
          <w:snapToGrid w:val="0"/>
          <w:color w:val="auto"/>
          <w:spacing w:val="10"/>
          <w:sz w:val="32"/>
          <w:szCs w:val="32"/>
          <w:highlight w:val="none"/>
          <w:lang w:val="en-US" w:eastAsia="zh-CN" w:bidi="ar-SA"/>
        </w:rPr>
        <w:t>标准</w:t>
      </w:r>
      <w:r>
        <w:rPr>
          <w:rFonts w:hint="default" w:ascii="Times New Roman" w:hAnsi="Times New Roman" w:eastAsia="仿宋_GB2312" w:cs="Times New Roman"/>
          <w:bCs/>
          <w:snapToGrid w:val="0"/>
          <w:color w:val="auto"/>
          <w:spacing w:val="10"/>
          <w:sz w:val="32"/>
          <w:szCs w:val="32"/>
          <w:highlight w:val="none"/>
          <w:lang w:val="en-US" w:eastAsia="zh-CN" w:bidi="ar-SA"/>
        </w:rPr>
        <w:t>要求。</w:t>
      </w:r>
    </w:p>
    <w:p w14:paraId="7C8143DE">
      <w:pPr>
        <w:keepNext w:val="0"/>
        <w:keepLines w:val="0"/>
        <w:pageBreakBefore w:val="0"/>
        <w:kinsoku/>
        <w:wordWrap/>
        <w:topLinePunct w:val="0"/>
        <w:bidi w:val="0"/>
        <w:adjustRightInd w:val="0"/>
        <w:snapToGrid w:val="0"/>
        <w:spacing w:line="570" w:lineRule="exact"/>
        <w:ind w:firstLine="680" w:firstLineChars="200"/>
        <w:jc w:val="both"/>
        <w:rPr>
          <w:rFonts w:hint="default" w:ascii="Times New Roman" w:hAnsi="Times New Roman" w:eastAsia="仿宋_GB2312" w:cs="Times New Roman"/>
          <w:bCs/>
          <w:snapToGrid w:val="0"/>
          <w:color w:val="auto"/>
          <w:spacing w:val="10"/>
          <w:sz w:val="32"/>
          <w:szCs w:val="32"/>
          <w:highlight w:val="none"/>
          <w:lang w:val="en-US" w:eastAsia="zh-CN" w:bidi="ar-SA"/>
        </w:rPr>
      </w:pPr>
      <w:r>
        <w:rPr>
          <w:rFonts w:hint="default" w:ascii="Times New Roman" w:hAnsi="Times New Roman" w:eastAsia="仿宋_GB2312" w:cs="Times New Roman"/>
          <w:bCs/>
          <w:snapToGrid w:val="0"/>
          <w:color w:val="auto"/>
          <w:spacing w:val="10"/>
          <w:kern w:val="0"/>
          <w:sz w:val="32"/>
          <w:szCs w:val="32"/>
          <w:highlight w:val="none"/>
          <w:lang w:val="zh-TW" w:eastAsia="zh-CN" w:bidi="ar-SA"/>
        </w:rPr>
        <w:t>（</w:t>
      </w:r>
      <w:r>
        <w:rPr>
          <w:rFonts w:hint="default" w:ascii="Times New Roman" w:hAnsi="Times New Roman" w:eastAsia="仿宋_GB2312" w:cs="Times New Roman"/>
          <w:bCs/>
          <w:snapToGrid w:val="0"/>
          <w:color w:val="auto"/>
          <w:spacing w:val="10"/>
          <w:kern w:val="0"/>
          <w:sz w:val="32"/>
          <w:szCs w:val="32"/>
          <w:highlight w:val="none"/>
          <w:lang w:val="en-US" w:eastAsia="zh-CN" w:bidi="ar-SA"/>
        </w:rPr>
        <w:t>五</w:t>
      </w:r>
      <w:r>
        <w:rPr>
          <w:rFonts w:hint="default" w:ascii="Times New Roman" w:hAnsi="Times New Roman" w:eastAsia="仿宋_GB2312" w:cs="Times New Roman"/>
          <w:bCs/>
          <w:snapToGrid w:val="0"/>
          <w:color w:val="auto"/>
          <w:spacing w:val="10"/>
          <w:kern w:val="0"/>
          <w:sz w:val="32"/>
          <w:szCs w:val="32"/>
          <w:highlight w:val="none"/>
          <w:lang w:val="zh-TW" w:eastAsia="zh-CN" w:bidi="ar-SA"/>
        </w:rPr>
        <w:t>）</w:t>
      </w:r>
      <w:r>
        <w:rPr>
          <w:rFonts w:hint="default" w:ascii="Times New Roman" w:hAnsi="Times New Roman" w:eastAsia="仿宋_GB2312" w:cs="Times New Roman"/>
          <w:bCs/>
          <w:snapToGrid w:val="0"/>
          <w:color w:val="auto"/>
          <w:spacing w:val="10"/>
          <w:sz w:val="32"/>
          <w:szCs w:val="32"/>
          <w:highlight w:val="none"/>
          <w:lang w:val="zh-TW" w:eastAsia="zh-CN" w:bidi="ar-SA"/>
        </w:rPr>
        <w:t>严格落实固体废物污染防控措施。</w:t>
      </w:r>
      <w:r>
        <w:rPr>
          <w:rFonts w:hint="default" w:ascii="Times New Roman" w:hAnsi="Times New Roman" w:eastAsia="仿宋_GB2312" w:cs="Times New Roman"/>
          <w:bCs/>
          <w:snapToGrid w:val="0"/>
          <w:color w:val="auto"/>
          <w:spacing w:val="10"/>
          <w:sz w:val="32"/>
          <w:szCs w:val="32"/>
          <w:highlight w:val="none"/>
          <w:lang w:val="en-US" w:eastAsia="zh-CN" w:bidi="ar-SA"/>
        </w:rPr>
        <w:t>项目运营期产生的废包装物外售综合利用</w:t>
      </w:r>
      <w:r>
        <w:rPr>
          <w:rFonts w:hint="default" w:ascii="Times New Roman" w:hAnsi="Times New Roman" w:eastAsia="仿宋_GB2312" w:cs="Times New Roman"/>
          <w:bCs/>
          <w:snapToGrid w:val="0"/>
          <w:color w:val="auto"/>
          <w:spacing w:val="1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en-US" w:eastAsia="zh-CN" w:bidi="ar-SA"/>
        </w:rPr>
        <w:t>一般</w:t>
      </w:r>
      <w:r>
        <w:rPr>
          <w:rFonts w:hint="default" w:ascii="Times New Roman" w:hAnsi="Times New Roman" w:eastAsia="仿宋_GB2312" w:cs="Times New Roman"/>
          <w:bCs/>
          <w:snapToGrid w:val="0"/>
          <w:color w:val="auto"/>
          <w:spacing w:val="10"/>
          <w:sz w:val="32"/>
          <w:szCs w:val="32"/>
          <w:highlight w:val="none"/>
          <w:lang w:val="en-US" w:eastAsia="zh-CN" w:bidi="ar-SA"/>
        </w:rPr>
        <w:t>固体</w:t>
      </w:r>
      <w:r>
        <w:rPr>
          <w:rFonts w:hint="default" w:ascii="Times New Roman" w:hAnsi="Times New Roman" w:eastAsia="仿宋_GB2312" w:cs="Times New Roman"/>
          <w:bCs/>
          <w:snapToGrid w:val="0"/>
          <w:color w:val="auto"/>
          <w:spacing w:val="10"/>
          <w:sz w:val="32"/>
          <w:szCs w:val="32"/>
          <w:highlight w:val="none"/>
          <w:lang w:val="en-US" w:eastAsia="zh-CN" w:bidi="ar-SA"/>
        </w:rPr>
        <w:t>废物</w:t>
      </w:r>
      <w:r>
        <w:rPr>
          <w:rFonts w:hint="default" w:ascii="Times New Roman" w:hAnsi="Times New Roman" w:eastAsia="仿宋_GB2312" w:cs="Times New Roman"/>
          <w:bCs/>
          <w:snapToGrid w:val="0"/>
          <w:color w:val="auto"/>
          <w:spacing w:val="10"/>
          <w:sz w:val="32"/>
          <w:szCs w:val="32"/>
          <w:highlight w:val="none"/>
          <w:lang w:val="en-US" w:eastAsia="zh-CN" w:bidi="ar-SA"/>
        </w:rPr>
        <w:t>应满足</w:t>
      </w:r>
      <w:r>
        <w:rPr>
          <w:rFonts w:hint="default" w:ascii="Times New Roman" w:hAnsi="Times New Roman" w:eastAsia="仿宋_GB2312" w:cs="Times New Roman"/>
          <w:bCs/>
          <w:snapToGrid w:val="0"/>
          <w:color w:val="auto"/>
          <w:spacing w:val="1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en-US" w:eastAsia="zh-CN" w:bidi="ar-SA"/>
        </w:rPr>
        <w:t>一般工业固体废物贮存和填埋污染控制标准</w:t>
      </w:r>
      <w:r>
        <w:rPr>
          <w:rFonts w:hint="default" w:ascii="Times New Roman" w:hAnsi="Times New Roman" w:eastAsia="仿宋_GB2312" w:cs="Times New Roman"/>
          <w:bCs/>
          <w:snapToGrid w:val="0"/>
          <w:color w:val="auto"/>
          <w:spacing w:val="1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en-US" w:eastAsia="zh-CN" w:bidi="ar-SA"/>
        </w:rPr>
        <w:t>GB18599-2020</w:t>
      </w:r>
      <w:r>
        <w:rPr>
          <w:rFonts w:hint="default" w:ascii="Times New Roman" w:hAnsi="Times New Roman" w:eastAsia="仿宋_GB2312" w:cs="Times New Roman"/>
          <w:bCs/>
          <w:snapToGrid w:val="0"/>
          <w:color w:val="auto"/>
          <w:spacing w:val="1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en-US" w:eastAsia="zh-CN" w:bidi="ar-SA"/>
        </w:rPr>
        <w:t>要求</w:t>
      </w:r>
      <w:r>
        <w:rPr>
          <w:rFonts w:hint="default" w:ascii="Times New Roman" w:hAnsi="Times New Roman" w:eastAsia="仿宋_GB2312" w:cs="Times New Roman"/>
          <w:bCs/>
          <w:snapToGrid w:val="0"/>
          <w:color w:val="auto"/>
          <w:spacing w:val="10"/>
          <w:sz w:val="32"/>
          <w:szCs w:val="32"/>
          <w:highlight w:val="none"/>
          <w:lang w:val="en-US" w:eastAsia="zh-CN" w:bidi="ar-SA"/>
        </w:rPr>
        <w:t>；废包装物、废试剂包装、实验室废手套、废口罩、废帽子、设备清洗水、过期试剂药品、废活性炭、沾染试剂的实验废中药渣暂存于危险废物贮存点</w:t>
      </w:r>
      <w:r>
        <w:rPr>
          <w:rFonts w:hint="default" w:ascii="Times New Roman" w:hAnsi="Times New Roman" w:eastAsia="仿宋_GB2312" w:cs="Times New Roman"/>
          <w:bCs/>
          <w:snapToGrid w:val="0"/>
          <w:color w:val="auto"/>
          <w:spacing w:val="10"/>
          <w:sz w:val="32"/>
          <w:szCs w:val="32"/>
          <w:highlight w:val="none"/>
          <w:lang w:val="en-US" w:eastAsia="zh-CN" w:bidi="ar-SA"/>
        </w:rPr>
        <w:t>（38m</w:t>
      </w:r>
      <w:r>
        <w:rPr>
          <w:rFonts w:hint="default" w:ascii="Times New Roman" w:hAnsi="Times New Roman" w:eastAsia="仿宋_GB2312" w:cs="Times New Roman"/>
          <w:bCs/>
          <w:snapToGrid w:val="0"/>
          <w:color w:val="auto"/>
          <w:spacing w:val="10"/>
          <w:sz w:val="32"/>
          <w:szCs w:val="32"/>
          <w:highlight w:val="none"/>
          <w:vertAlign w:val="superscript"/>
          <w:lang w:val="en-US" w:eastAsia="zh-CN" w:bidi="ar-SA"/>
        </w:rPr>
        <w:t>2</w:t>
      </w:r>
      <w:r>
        <w:rPr>
          <w:rFonts w:hint="default" w:ascii="Times New Roman" w:hAnsi="Times New Roman" w:eastAsia="仿宋_GB2312" w:cs="Times New Roman"/>
          <w:bCs/>
          <w:snapToGrid w:val="0"/>
          <w:color w:val="auto"/>
          <w:spacing w:val="10"/>
          <w:sz w:val="32"/>
          <w:szCs w:val="32"/>
          <w:highlight w:val="none"/>
          <w:lang w:val="en-US" w:eastAsia="zh-CN" w:bidi="ar-SA"/>
        </w:rPr>
        <w:t>）</w:t>
      </w:r>
      <w:r>
        <w:rPr>
          <w:rFonts w:hint="default" w:ascii="Times New Roman" w:hAnsi="Times New Roman" w:eastAsia="仿宋_GB2312" w:cs="Times New Roman"/>
          <w:bCs/>
          <w:snapToGrid w:val="0"/>
          <w:color w:val="auto"/>
          <w:spacing w:val="10"/>
          <w:sz w:val="32"/>
          <w:szCs w:val="32"/>
          <w:highlight w:val="none"/>
          <w:lang w:val="en-US" w:eastAsia="zh-CN" w:bidi="ar-SA"/>
        </w:rPr>
        <w:t>，委托有资质单位进行处理</w:t>
      </w:r>
      <w:r>
        <w:rPr>
          <w:rFonts w:hint="default" w:ascii="Times New Roman" w:hAnsi="Times New Roman" w:eastAsia="仿宋_GB2312" w:cs="Times New Roman"/>
          <w:bCs/>
          <w:snapToGrid w:val="0"/>
          <w:color w:val="auto"/>
          <w:spacing w:val="10"/>
          <w:sz w:val="32"/>
          <w:szCs w:val="32"/>
          <w:highlight w:val="none"/>
          <w:lang w:val="en-US" w:eastAsia="zh-CN" w:bidi="ar-SA"/>
        </w:rPr>
        <w:t>，项目危险废物的收集、贮存和运输应满足《危险废物贮存污染控制标准》(GB18597-2023)相关要求；</w:t>
      </w:r>
      <w:r>
        <w:rPr>
          <w:rFonts w:hint="default" w:ascii="Times New Roman" w:hAnsi="Times New Roman" w:eastAsia="仿宋_GB2312" w:cs="Times New Roman"/>
          <w:bCs/>
          <w:snapToGrid w:val="0"/>
          <w:color w:val="auto"/>
          <w:spacing w:val="10"/>
          <w:sz w:val="32"/>
          <w:szCs w:val="32"/>
          <w:highlight w:val="none"/>
          <w:lang w:val="en-US" w:eastAsia="zh-CN" w:bidi="ar-SA"/>
        </w:rPr>
        <w:t>生活垃圾</w:t>
      </w:r>
      <w:r>
        <w:rPr>
          <w:rFonts w:hint="default" w:ascii="Times New Roman" w:hAnsi="Times New Roman" w:eastAsia="仿宋_GB2312" w:cs="Times New Roman"/>
          <w:bCs/>
          <w:snapToGrid w:val="0"/>
          <w:color w:val="auto"/>
          <w:spacing w:val="10"/>
          <w:sz w:val="32"/>
          <w:szCs w:val="32"/>
          <w:highlight w:val="none"/>
          <w:lang w:val="en-US" w:eastAsia="zh-CN" w:bidi="ar-SA"/>
        </w:rPr>
        <w:t>、未接触试剂的废中药渣统一收集后</w:t>
      </w:r>
      <w:r>
        <w:rPr>
          <w:rFonts w:hint="default" w:ascii="Times New Roman" w:hAnsi="Times New Roman" w:eastAsia="仿宋_GB2312" w:cs="Times New Roman"/>
          <w:bCs/>
          <w:snapToGrid w:val="0"/>
          <w:color w:val="auto"/>
          <w:spacing w:val="10"/>
          <w:sz w:val="32"/>
          <w:szCs w:val="32"/>
          <w:highlight w:val="none"/>
          <w:lang w:val="en-US" w:eastAsia="zh-CN" w:bidi="ar-SA"/>
        </w:rPr>
        <w:t>由环卫部门清运</w:t>
      </w:r>
      <w:r>
        <w:rPr>
          <w:rFonts w:hint="default" w:ascii="Times New Roman" w:hAnsi="Times New Roman" w:eastAsia="仿宋_GB2312" w:cs="Times New Roman"/>
          <w:bCs/>
          <w:snapToGrid w:val="0"/>
          <w:color w:val="auto"/>
          <w:spacing w:val="10"/>
          <w:sz w:val="32"/>
          <w:szCs w:val="32"/>
          <w:highlight w:val="none"/>
          <w:lang w:val="en-US" w:eastAsia="zh-CN" w:bidi="ar-SA"/>
        </w:rPr>
        <w:t>处理</w:t>
      </w:r>
      <w:r>
        <w:rPr>
          <w:rFonts w:hint="default" w:ascii="Times New Roman" w:hAnsi="Times New Roman" w:eastAsia="仿宋_GB2312" w:cs="Times New Roman"/>
          <w:bCs/>
          <w:snapToGrid w:val="0"/>
          <w:color w:val="auto"/>
          <w:spacing w:val="10"/>
          <w:sz w:val="32"/>
          <w:szCs w:val="32"/>
          <w:highlight w:val="none"/>
          <w:lang w:val="en-US" w:eastAsia="zh-CN" w:bidi="ar-SA"/>
        </w:rPr>
        <w:t>。</w:t>
      </w:r>
    </w:p>
    <w:p w14:paraId="129674A1">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0" w:lineRule="exact"/>
        <w:ind w:left="0" w:right="0" w:firstLineChars="200"/>
        <w:jc w:val="both"/>
        <w:textAlignment w:val="baseline"/>
        <w:rPr>
          <w:rFonts w:hint="default" w:ascii="Times New Roman" w:hAnsi="Times New Roman" w:eastAsia="仿宋_GB2312" w:cs="Times New Roman"/>
          <w:bCs/>
          <w:snapToGrid w:val="0"/>
          <w:color w:val="auto"/>
          <w:spacing w:val="10"/>
          <w:sz w:val="32"/>
          <w:szCs w:val="32"/>
          <w:highlight w:val="none"/>
          <w:lang w:val="en-US" w:eastAsia="zh-CN" w:bidi="ar-SA"/>
        </w:rPr>
      </w:pPr>
      <w:r>
        <w:rPr>
          <w:rFonts w:hint="default" w:ascii="Times New Roman" w:hAnsi="Times New Roman" w:eastAsia="仿宋_GB2312" w:cs="Times New Roman"/>
          <w:bCs/>
          <w:snapToGrid w:val="0"/>
          <w:color w:val="auto"/>
          <w:spacing w:val="10"/>
          <w:kern w:val="0"/>
          <w:sz w:val="32"/>
          <w:szCs w:val="32"/>
          <w:highlight w:val="none"/>
          <w:lang w:val="zh-TW" w:eastAsia="zh-CN" w:bidi="ar-SA"/>
        </w:rPr>
        <w:t>（</w:t>
      </w:r>
      <w:r>
        <w:rPr>
          <w:rFonts w:hint="default" w:ascii="Times New Roman" w:hAnsi="Times New Roman" w:eastAsia="仿宋_GB2312" w:cs="Times New Roman"/>
          <w:bCs/>
          <w:snapToGrid w:val="0"/>
          <w:color w:val="auto"/>
          <w:spacing w:val="10"/>
          <w:kern w:val="0"/>
          <w:sz w:val="32"/>
          <w:szCs w:val="32"/>
          <w:highlight w:val="none"/>
          <w:lang w:val="en-US" w:eastAsia="zh-CN" w:bidi="ar-SA"/>
        </w:rPr>
        <w:t>六</w:t>
      </w:r>
      <w:r>
        <w:rPr>
          <w:rFonts w:hint="default" w:ascii="Times New Roman" w:hAnsi="Times New Roman" w:eastAsia="仿宋_GB2312" w:cs="Times New Roman"/>
          <w:bCs/>
          <w:snapToGrid w:val="0"/>
          <w:color w:val="auto"/>
          <w:spacing w:val="10"/>
          <w:kern w:val="0"/>
          <w:sz w:val="32"/>
          <w:szCs w:val="32"/>
          <w:highlight w:val="none"/>
          <w:lang w:val="zh-TW" w:eastAsia="zh-CN" w:bidi="ar-SA"/>
        </w:rPr>
        <w:t>）</w:t>
      </w:r>
      <w:r>
        <w:rPr>
          <w:rFonts w:hint="default" w:ascii="Times New Roman" w:hAnsi="Times New Roman" w:eastAsia="仿宋_GB2312" w:cs="Times New Roman"/>
          <w:bCs/>
          <w:snapToGrid w:val="0"/>
          <w:color w:val="auto"/>
          <w:spacing w:val="10"/>
          <w:kern w:val="0"/>
          <w:sz w:val="32"/>
          <w:szCs w:val="32"/>
          <w:highlight w:val="none"/>
          <w:lang w:val="en-US" w:eastAsia="zh-CN" w:bidi="ar-SA"/>
        </w:rPr>
        <w:t>严格落实土壤和地下水污染防治措施。</w:t>
      </w:r>
      <w:r>
        <w:rPr>
          <w:rFonts w:hint="default" w:ascii="Times New Roman" w:hAnsi="Times New Roman" w:eastAsia="仿宋_GB2312" w:cs="Times New Roman"/>
          <w:bCs/>
          <w:snapToGrid w:val="0"/>
          <w:spacing w:val="10"/>
          <w:kern w:val="0"/>
          <w:sz w:val="32"/>
          <w:szCs w:val="32"/>
          <w:highlight w:val="none"/>
          <w:lang w:val="en-US" w:eastAsia="zh-CN" w:bidi="ar"/>
        </w:rPr>
        <w:t>项目</w:t>
      </w:r>
      <w:r>
        <w:rPr>
          <w:rFonts w:hint="default" w:ascii="Times New Roman" w:hAnsi="Times New Roman" w:eastAsia="仿宋_GB2312" w:cs="Times New Roman"/>
          <w:bCs/>
          <w:snapToGrid w:val="0"/>
          <w:spacing w:val="10"/>
          <w:kern w:val="0"/>
          <w:sz w:val="32"/>
          <w:szCs w:val="32"/>
          <w:highlight w:val="none"/>
          <w:lang w:val="en-US" w:eastAsia="zh-CN" w:bidi="ar"/>
        </w:rPr>
        <w:t>采取分区防渗管控措施，</w:t>
      </w:r>
      <w:r>
        <w:rPr>
          <w:rFonts w:hint="default" w:ascii="Times New Roman" w:hAnsi="Times New Roman" w:eastAsia="仿宋_GB2312" w:cs="Times New Roman"/>
          <w:bCs/>
          <w:sz w:val="32"/>
          <w:szCs w:val="32"/>
          <w:highlight w:val="none"/>
          <w:lang w:val="en-US" w:eastAsia="zh-CN" w:bidi="ar"/>
        </w:rPr>
        <w:t>危废贮存点、实验室、试剂库</w:t>
      </w:r>
      <w:r>
        <w:rPr>
          <w:rFonts w:hint="default" w:ascii="Times New Roman" w:hAnsi="Times New Roman" w:eastAsia="仿宋_GB2312" w:cs="Times New Roman"/>
          <w:bCs/>
          <w:kern w:val="2"/>
          <w:sz w:val="32"/>
          <w:szCs w:val="32"/>
          <w:highlight w:val="none"/>
          <w:lang w:val="en-US" w:eastAsia="zh-CN" w:bidi="ar-SA"/>
        </w:rPr>
        <w:t>作</w:t>
      </w:r>
      <w:r>
        <w:rPr>
          <w:rFonts w:hint="default" w:ascii="Times New Roman" w:hAnsi="Times New Roman" w:eastAsia="仿宋_GB2312" w:cs="Times New Roman"/>
          <w:bCs/>
          <w:strike w:val="0"/>
          <w:dstrike w:val="0"/>
          <w:sz w:val="32"/>
          <w:szCs w:val="32"/>
          <w:highlight w:val="none"/>
          <w:lang w:eastAsia="zh-CN" w:bidi="ar"/>
        </w:rPr>
        <w:t>为重点防渗区</w:t>
      </w:r>
      <w:r>
        <w:rPr>
          <w:rFonts w:hint="default" w:ascii="Times New Roman" w:hAnsi="Times New Roman" w:eastAsia="仿宋_GB2312" w:cs="Times New Roman"/>
          <w:bCs/>
          <w:snapToGrid w:val="0"/>
          <w:spacing w:val="10"/>
          <w:kern w:val="0"/>
          <w:sz w:val="32"/>
          <w:szCs w:val="32"/>
          <w:highlight w:val="none"/>
          <w:lang w:val="en-US" w:eastAsia="zh-CN" w:bidi="ar"/>
        </w:rPr>
        <w:t>（</w:t>
      </w:r>
      <w:r>
        <w:rPr>
          <w:rFonts w:hint="default" w:ascii="Times New Roman" w:hAnsi="Times New Roman" w:eastAsia="仿宋_GB2312" w:cs="Times New Roman"/>
          <w:bCs/>
          <w:snapToGrid w:val="0"/>
          <w:spacing w:val="10"/>
          <w:kern w:val="0"/>
          <w:sz w:val="32"/>
          <w:szCs w:val="32"/>
          <w:highlight w:val="none"/>
          <w:lang w:val="zh-CN" w:eastAsia="zh-CN" w:bidi="ar"/>
        </w:rPr>
        <w:t>2mm厚高密度聚乙烯材料，K≤1×10</w:t>
      </w:r>
      <w:r>
        <w:rPr>
          <w:rFonts w:hint="default" w:ascii="Times New Roman" w:hAnsi="Times New Roman" w:eastAsia="仿宋_GB2312" w:cs="Times New Roman"/>
          <w:bCs/>
          <w:snapToGrid w:val="0"/>
          <w:spacing w:val="10"/>
          <w:kern w:val="0"/>
          <w:sz w:val="32"/>
          <w:szCs w:val="32"/>
          <w:highlight w:val="none"/>
          <w:vertAlign w:val="superscript"/>
          <w:lang w:val="zh-CN" w:eastAsia="zh-CN" w:bidi="ar"/>
        </w:rPr>
        <w:t>-</w:t>
      </w:r>
      <w:r>
        <w:rPr>
          <w:rFonts w:hint="default" w:ascii="Times New Roman" w:hAnsi="Times New Roman" w:eastAsia="仿宋_GB2312" w:cs="Times New Roman"/>
          <w:bCs/>
          <w:snapToGrid w:val="0"/>
          <w:spacing w:val="10"/>
          <w:kern w:val="0"/>
          <w:sz w:val="32"/>
          <w:szCs w:val="32"/>
          <w:highlight w:val="none"/>
          <w:vertAlign w:val="superscript"/>
          <w:lang w:val="en-US" w:eastAsia="zh-CN" w:bidi="ar"/>
        </w:rPr>
        <w:t>10</w:t>
      </w:r>
      <w:r>
        <w:rPr>
          <w:rFonts w:hint="default" w:ascii="Times New Roman" w:hAnsi="Times New Roman" w:eastAsia="仿宋_GB2312" w:cs="Times New Roman"/>
          <w:bCs/>
          <w:snapToGrid w:val="0"/>
          <w:spacing w:val="10"/>
          <w:kern w:val="0"/>
          <w:sz w:val="32"/>
          <w:szCs w:val="32"/>
          <w:highlight w:val="none"/>
          <w:lang w:val="zh-CN" w:eastAsia="zh-CN" w:bidi="ar"/>
        </w:rPr>
        <w:t>cm/s</w:t>
      </w:r>
      <w:r>
        <w:rPr>
          <w:rFonts w:hint="default" w:ascii="Times New Roman" w:hAnsi="Times New Roman" w:eastAsia="仿宋_GB2312" w:cs="Times New Roman"/>
          <w:bCs/>
          <w:snapToGrid w:val="0"/>
          <w:spacing w:val="10"/>
          <w:kern w:val="0"/>
          <w:sz w:val="32"/>
          <w:szCs w:val="32"/>
          <w:highlight w:val="none"/>
          <w:lang w:val="en-US" w:eastAsia="zh-CN" w:bidi="ar"/>
        </w:rPr>
        <w:t>）</w:t>
      </w:r>
      <w:r>
        <w:rPr>
          <w:rFonts w:hint="default" w:ascii="Times New Roman" w:hAnsi="Times New Roman" w:eastAsia="仿宋_GB2312" w:cs="Times New Roman"/>
          <w:bCs/>
          <w:strike w:val="0"/>
          <w:dstrike w:val="0"/>
          <w:sz w:val="32"/>
          <w:szCs w:val="32"/>
          <w:highlight w:val="none"/>
          <w:lang w:eastAsia="zh-CN" w:bidi="ar"/>
        </w:rPr>
        <w:t>，</w:t>
      </w:r>
      <w:r>
        <w:rPr>
          <w:rFonts w:hint="default" w:ascii="Times New Roman" w:hAnsi="Times New Roman" w:eastAsia="仿宋_GB2312" w:cs="Times New Roman"/>
          <w:bCs/>
          <w:strike w:val="0"/>
          <w:dstrike w:val="0"/>
          <w:sz w:val="32"/>
          <w:szCs w:val="32"/>
          <w:highlight w:val="none"/>
          <w:lang w:val="en-US" w:eastAsia="zh-CN" w:bidi="ar"/>
        </w:rPr>
        <w:t>物理实验室作</w:t>
      </w:r>
      <w:r>
        <w:rPr>
          <w:rFonts w:hint="default" w:ascii="Times New Roman" w:hAnsi="Times New Roman" w:eastAsia="仿宋_GB2312" w:cs="Times New Roman"/>
          <w:bCs/>
          <w:snapToGrid w:val="0"/>
          <w:color w:val="auto"/>
          <w:spacing w:val="10"/>
          <w:sz w:val="32"/>
          <w:szCs w:val="32"/>
          <w:highlight w:val="none"/>
          <w:lang w:val="en-US" w:eastAsia="zh-CN" w:bidi="ar-SA"/>
        </w:rPr>
        <w:t>为</w:t>
      </w:r>
      <w:r>
        <w:rPr>
          <w:rFonts w:hint="default" w:ascii="Times New Roman" w:hAnsi="Times New Roman" w:eastAsia="仿宋_GB2312" w:cs="Times New Roman"/>
          <w:bCs/>
          <w:snapToGrid w:val="0"/>
          <w:color w:val="auto"/>
          <w:spacing w:val="10"/>
          <w:sz w:val="32"/>
          <w:szCs w:val="32"/>
          <w:highlight w:val="none"/>
          <w:lang w:val="en-US" w:eastAsia="zh-CN" w:bidi="ar-SA"/>
        </w:rPr>
        <w:t>一般防渗区</w:t>
      </w:r>
      <w:r>
        <w:rPr>
          <w:rFonts w:hint="default" w:ascii="Times New Roman" w:hAnsi="Times New Roman" w:eastAsia="仿宋_GB2312" w:cs="Times New Roman"/>
          <w:bCs/>
          <w:snapToGrid w:val="0"/>
          <w:color w:val="auto"/>
          <w:spacing w:val="10"/>
          <w:kern w:val="0"/>
          <w:sz w:val="32"/>
          <w:szCs w:val="24"/>
          <w:highlight w:val="none"/>
          <w:lang w:val="en-US" w:eastAsia="zh-CN" w:bidi="ar-SA"/>
        </w:rPr>
        <w:t>。</w:t>
      </w:r>
    </w:p>
    <w:p w14:paraId="1DD82D04">
      <w:pPr>
        <w:pStyle w:val="10"/>
        <w:keepNext w:val="0"/>
        <w:keepLines w:val="0"/>
        <w:pageBreakBefore w:val="0"/>
        <w:widowControl/>
        <w:kinsoku/>
        <w:wordWrap/>
        <w:overflowPunct w:val="0"/>
        <w:topLinePunct w:val="0"/>
        <w:autoSpaceDE w:val="0"/>
        <w:autoSpaceDN w:val="0"/>
        <w:bidi w:val="0"/>
        <w:adjustRightInd w:val="0"/>
        <w:snapToGrid w:val="0"/>
        <w:spacing w:line="570" w:lineRule="exact"/>
        <w:jc w:val="both"/>
        <w:textAlignment w:val="auto"/>
        <w:rPr>
          <w:rFonts w:hint="default" w:ascii="Times New Roman" w:hAnsi="Times New Roman" w:eastAsia="仿宋_GB2312" w:cs="Times New Roman"/>
          <w:bCs w:val="0"/>
          <w:snapToGrid w:val="0"/>
          <w:color w:val="auto"/>
          <w:spacing w:val="0"/>
          <w:kern w:val="2"/>
          <w:sz w:val="32"/>
          <w:szCs w:val="32"/>
          <w:highlight w:val="none"/>
          <w:lang w:val="zh-TW" w:eastAsia="zh-CN" w:bidi="ar-SA"/>
        </w:rPr>
      </w:pPr>
      <w:r>
        <w:rPr>
          <w:rFonts w:hint="default" w:ascii="Times New Roman" w:hAnsi="Times New Roman" w:eastAsia="仿宋_GB2312" w:cs="Times New Roman"/>
          <w:bCs/>
          <w:snapToGrid w:val="0"/>
          <w:color w:val="auto"/>
          <w:spacing w:val="10"/>
          <w:kern w:val="0"/>
          <w:sz w:val="32"/>
          <w:szCs w:val="32"/>
          <w:highlight w:val="none"/>
          <w:lang w:val="en-US" w:eastAsia="zh-CN" w:bidi="ar-SA"/>
        </w:rPr>
        <w:t>（</w:t>
      </w:r>
      <w:r>
        <w:rPr>
          <w:rFonts w:hint="default" w:ascii="Times New Roman" w:hAnsi="Times New Roman" w:eastAsia="仿宋_GB2312" w:cs="Times New Roman"/>
          <w:bCs/>
          <w:snapToGrid w:val="0"/>
          <w:color w:val="auto"/>
          <w:spacing w:val="10"/>
          <w:kern w:val="0"/>
          <w:sz w:val="32"/>
          <w:szCs w:val="32"/>
          <w:highlight w:val="none"/>
          <w:lang w:val="en-US" w:eastAsia="zh-CN" w:bidi="ar-SA"/>
        </w:rPr>
        <w:t>七</w:t>
      </w:r>
      <w:r>
        <w:rPr>
          <w:rFonts w:hint="default" w:ascii="Times New Roman" w:hAnsi="Times New Roman" w:eastAsia="仿宋_GB2312" w:cs="Times New Roman"/>
          <w:bCs/>
          <w:snapToGrid w:val="0"/>
          <w:color w:val="auto"/>
          <w:spacing w:val="10"/>
          <w:kern w:val="0"/>
          <w:sz w:val="32"/>
          <w:szCs w:val="32"/>
          <w:highlight w:val="none"/>
          <w:lang w:val="en-US" w:eastAsia="zh-CN" w:bidi="ar-SA"/>
        </w:rPr>
        <w:t>）严格落实环境风险防控措施。</w:t>
      </w:r>
      <w:r>
        <w:rPr>
          <w:rFonts w:hint="default" w:ascii="Times New Roman" w:hAnsi="Times New Roman" w:eastAsia="仿宋_GB2312" w:cs="Times New Roman"/>
          <w:bCs/>
          <w:snapToGrid w:val="0"/>
          <w:color w:val="auto"/>
          <w:spacing w:val="10"/>
          <w:sz w:val="32"/>
          <w:szCs w:val="32"/>
          <w:highlight w:val="none"/>
          <w:lang w:val="en-US" w:eastAsia="zh-CN" w:bidi="ar-SA"/>
        </w:rPr>
        <w:t>本</w:t>
      </w:r>
      <w:r>
        <w:rPr>
          <w:rFonts w:hint="default" w:ascii="Times New Roman" w:hAnsi="Times New Roman" w:eastAsia="仿宋_GB2312" w:cs="Times New Roman"/>
          <w:bCs w:val="0"/>
          <w:snapToGrid w:val="0"/>
          <w:color w:val="auto"/>
          <w:spacing w:val="0"/>
          <w:kern w:val="2"/>
          <w:sz w:val="32"/>
          <w:szCs w:val="32"/>
          <w:highlight w:val="none"/>
          <w:lang w:val="en-US" w:eastAsia="zh-CN" w:bidi="ar-SA"/>
        </w:rPr>
        <w:t>项目</w:t>
      </w:r>
      <w:r>
        <w:rPr>
          <w:rFonts w:hint="default" w:ascii="Times New Roman" w:hAnsi="Times New Roman" w:eastAsia="仿宋_GB2312" w:cs="Times New Roman"/>
          <w:color w:val="auto"/>
          <w:sz w:val="32"/>
          <w:szCs w:val="32"/>
          <w:highlight w:val="none"/>
          <w:lang w:val="en-US" w:eastAsia="zh-CN"/>
        </w:rPr>
        <w:t>建立健全安全、环境管理体系，制定严格的安全管理制度，</w:t>
      </w:r>
      <w:r>
        <w:rPr>
          <w:rFonts w:hint="default" w:ascii="Times New Roman" w:hAnsi="Times New Roman" w:eastAsia="仿宋_GB2312" w:cs="Times New Roman"/>
          <w:color w:val="auto"/>
          <w:sz w:val="32"/>
          <w:szCs w:val="32"/>
          <w:highlight w:val="none"/>
          <w:lang w:val="en-US" w:eastAsia="zh-CN"/>
        </w:rPr>
        <w:t>制定应急计划，</w:t>
      </w:r>
      <w:r>
        <w:rPr>
          <w:rFonts w:hint="default" w:ascii="Times New Roman" w:hAnsi="Times New Roman" w:eastAsia="仿宋_GB2312" w:cs="Times New Roman"/>
          <w:color w:val="auto"/>
          <w:sz w:val="32"/>
          <w:szCs w:val="32"/>
          <w:highlight w:val="none"/>
          <w:lang w:val="en-US" w:eastAsia="zh-CN"/>
        </w:rPr>
        <w:t>加强职工培训，提高应急处理能力</w:t>
      </w:r>
      <w:r>
        <w:rPr>
          <w:rFonts w:hint="default" w:ascii="Times New Roman" w:hAnsi="Times New Roman" w:eastAsia="仿宋_GB2312" w:cs="Times New Roman"/>
          <w:bCs/>
          <w:snapToGrid w:val="0"/>
          <w:spacing w:val="10"/>
          <w:kern w:val="0"/>
          <w:sz w:val="32"/>
          <w:szCs w:val="32"/>
          <w:highlight w:val="none"/>
          <w:lang w:val="en-US" w:eastAsia="zh-CN" w:bidi="ar"/>
        </w:rPr>
        <w:t>，</w:t>
      </w:r>
      <w:r>
        <w:rPr>
          <w:rFonts w:hint="default" w:ascii="Times New Roman" w:hAnsi="Times New Roman" w:eastAsia="仿宋_GB2312" w:cs="Times New Roman"/>
          <w:bCs/>
          <w:snapToGrid w:val="0"/>
          <w:spacing w:val="10"/>
          <w:kern w:val="0"/>
          <w:sz w:val="32"/>
          <w:szCs w:val="32"/>
          <w:highlight w:val="none"/>
          <w:lang w:val="en-US" w:eastAsia="zh-CN" w:bidi="ar"/>
        </w:rPr>
        <w:t>制定相应的应急预案</w:t>
      </w:r>
      <w:r>
        <w:rPr>
          <w:rFonts w:hint="default" w:ascii="Times New Roman" w:hAnsi="Times New Roman" w:eastAsia="仿宋_GB2312" w:cs="Times New Roman"/>
          <w:bCs/>
          <w:snapToGrid w:val="0"/>
          <w:spacing w:val="10"/>
          <w:kern w:val="0"/>
          <w:sz w:val="32"/>
          <w:szCs w:val="32"/>
          <w:highlight w:val="none"/>
          <w:lang w:val="en-US" w:eastAsia="zh-CN" w:bidi="ar"/>
        </w:rPr>
        <w:t>并开展演练</w:t>
      </w:r>
      <w:r>
        <w:rPr>
          <w:rFonts w:hint="default" w:ascii="Times New Roman" w:hAnsi="Times New Roman" w:eastAsia="仿宋_GB2312" w:cs="Times New Roman"/>
          <w:bCs/>
          <w:snapToGrid w:val="0"/>
          <w:color w:val="auto"/>
          <w:spacing w:val="10"/>
          <w:sz w:val="32"/>
          <w:szCs w:val="32"/>
          <w:highlight w:val="none"/>
          <w:lang w:val="en-US" w:eastAsia="zh-CN" w:bidi="ar-SA"/>
        </w:rPr>
        <w:t>。</w:t>
      </w:r>
    </w:p>
    <w:p w14:paraId="0C6BF2FD">
      <w:pPr>
        <w:keepNext w:val="0"/>
        <w:keepLines w:val="0"/>
        <w:pageBreakBefore w:val="0"/>
        <w:widowControl w:val="0"/>
        <w:kinsoku/>
        <w:wordWrap/>
        <w:overflowPunct/>
        <w:topLinePunct w:val="0"/>
        <w:autoSpaceDE w:val="0"/>
        <w:autoSpaceDN w:val="0"/>
        <w:bidi w:val="0"/>
        <w:adjustRightInd w:val="0"/>
        <w:snapToGrid/>
        <w:spacing w:line="570" w:lineRule="exact"/>
        <w:ind w:left="0" w:leftChars="0" w:firstLine="68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你公司应落实生态环境保护主体责</w:t>
      </w:r>
      <w:r>
        <w:rPr>
          <w:rFonts w:hint="default" w:ascii="Times New Roman" w:hAnsi="Times New Roman" w:eastAsia="仿宋_GB2312" w:cs="Times New Roman"/>
          <w:color w:val="auto"/>
          <w:sz w:val="32"/>
          <w:szCs w:val="32"/>
          <w:highlight w:val="none"/>
          <w:shd w:val="clear"/>
        </w:rPr>
        <w:t>任，严格执行排污许可制度和总量控制制度</w:t>
      </w:r>
      <w:r>
        <w:rPr>
          <w:rFonts w:hint="default" w:ascii="Times New Roman" w:hAnsi="Times New Roman" w:eastAsia="仿宋_GB2312" w:cs="Times New Roman"/>
          <w:color w:val="auto"/>
          <w:sz w:val="32"/>
          <w:szCs w:val="32"/>
          <w:highlight w:val="none"/>
          <w:shd w:val="clear"/>
          <w:lang w:eastAsia="zh-CN"/>
        </w:rPr>
        <w:t>。</w:t>
      </w:r>
      <w:r>
        <w:rPr>
          <w:rFonts w:hint="default" w:ascii="Times New Roman" w:hAnsi="Times New Roman" w:eastAsia="仿宋_GB2312" w:cs="Times New Roman"/>
          <w:snapToGrid w:val="0"/>
          <w:color w:val="auto"/>
          <w:spacing w:val="0"/>
          <w:kern w:val="2"/>
          <w:sz w:val="32"/>
          <w:szCs w:val="32"/>
          <w:highlight w:val="none"/>
          <w:shd w:val="clear" w:color="auto" w:fill="auto"/>
          <w:lang w:val="en-US" w:eastAsia="zh-CN" w:bidi="ar"/>
        </w:rPr>
        <w:t>建立单位内部生态环境管理机构和体系，明确人员、职责和制度，加强生态环境管理，推进各项生态环境保护措施落实。按照相关法律法规和技术标准规范要求，开展环保设备设施安全风险辨识评估和隐患排查治理，落实安全生产各项责任措施。项目建设必须严格执行配套的环境保护设施与主体工程，同时设计、同时施工、同时投产使用的环境保护“三同时”制度，落实各项环境保护措施以及环境保护设施投资，项目竣工后，须按规定程序实施竣工环境保护验收，并向社会进行公示。</w:t>
      </w:r>
      <w:r>
        <w:rPr>
          <w:rFonts w:hint="default" w:ascii="Times New Roman" w:hAnsi="Times New Roman" w:eastAsia="仿宋_GB2312" w:cs="Times New Roman"/>
          <w:color w:val="auto"/>
          <w:sz w:val="32"/>
          <w:szCs w:val="32"/>
          <w:highlight w:val="none"/>
          <w:shd w:val="clear" w:color="auto" w:fill="auto"/>
          <w:lang w:val="en-US" w:eastAsia="zh-CN"/>
        </w:rPr>
        <w:t>配合当地政府及有关部门对公众进行必要的解释和说明，取得公众对工程建设的理解和支持。本项目引发的生态环境信访问题，由建设单位负责妥善解决</w:t>
      </w:r>
      <w:r>
        <w:rPr>
          <w:rFonts w:hint="default" w:ascii="Times New Roman" w:hAnsi="Times New Roman" w:eastAsia="仿宋_GB2312" w:cs="Times New Roman"/>
          <w:color w:val="auto"/>
          <w:sz w:val="32"/>
          <w:szCs w:val="32"/>
          <w:highlight w:val="none"/>
          <w:lang w:val="en-US" w:eastAsia="zh-CN"/>
        </w:rPr>
        <w:t>。</w:t>
      </w:r>
    </w:p>
    <w:p w14:paraId="561E78BE">
      <w:pPr>
        <w:pStyle w:val="46"/>
        <w:keepNext w:val="0"/>
        <w:keepLines w:val="0"/>
        <w:pageBreakBefore w:val="0"/>
        <w:kinsoku/>
        <w:wordWrap/>
        <w:overflowPunct/>
        <w:topLinePunct w:val="0"/>
        <w:bidi w:val="0"/>
        <w:snapToGrid/>
        <w:spacing w:line="570" w:lineRule="exact"/>
        <w:ind w:left="0" w:leftChars="0" w:firstLine="640"/>
        <w:jc w:val="both"/>
        <w:textAlignment w:val="auto"/>
        <w:rPr>
          <w:rFonts w:hint="default" w:ascii="Times New Roman" w:hAnsi="Times New Roman" w:eastAsia="仿宋_GB2312" w:cs="Times New Roman"/>
          <w:color w:val="auto"/>
          <w:spacing w:val="0"/>
          <w:kern w:val="2"/>
          <w:sz w:val="32"/>
          <w:szCs w:val="32"/>
          <w:highlight w:val="none"/>
          <w:lang w:val="en-US"/>
        </w:rPr>
      </w:pPr>
      <w:r>
        <w:rPr>
          <w:rFonts w:hint="default" w:ascii="Times New Roman" w:hAnsi="Times New Roman" w:eastAsia="仿宋_GB2312" w:cs="Times New Roman"/>
          <w:color w:val="auto"/>
          <w:spacing w:val="0"/>
          <w:kern w:val="2"/>
          <w:sz w:val="32"/>
          <w:szCs w:val="32"/>
          <w:highlight w:val="none"/>
          <w:lang w:val="en-US" w:eastAsia="zh-CN"/>
        </w:rPr>
        <w:t>四</w:t>
      </w:r>
      <w:r>
        <w:rPr>
          <w:rFonts w:hint="default" w:ascii="Times New Roman" w:hAnsi="Times New Roman" w:eastAsia="仿宋_GB2312" w:cs="Times New Roman"/>
          <w:color w:val="auto"/>
          <w:spacing w:val="0"/>
          <w:kern w:val="2"/>
          <w:sz w:val="32"/>
          <w:szCs w:val="32"/>
          <w:highlight w:val="none"/>
          <w:lang w:val="en-US"/>
        </w:rPr>
        <w:t>、环境影响</w:t>
      </w:r>
      <w:r>
        <w:rPr>
          <w:rFonts w:hint="default" w:ascii="Times New Roman" w:hAnsi="Times New Roman" w:eastAsia="仿宋_GB2312" w:cs="Times New Roman"/>
          <w:color w:val="auto"/>
          <w:spacing w:val="0"/>
          <w:kern w:val="2"/>
          <w:sz w:val="32"/>
          <w:szCs w:val="32"/>
          <w:highlight w:val="none"/>
          <w:lang w:val="en-US" w:eastAsia="zh-CN"/>
        </w:rPr>
        <w:t>报告书</w:t>
      </w:r>
      <w:r>
        <w:rPr>
          <w:rFonts w:hint="default" w:ascii="Times New Roman" w:hAnsi="Times New Roman" w:eastAsia="仿宋_GB2312" w:cs="Times New Roman"/>
          <w:color w:val="auto"/>
          <w:spacing w:val="0"/>
          <w:kern w:val="2"/>
          <w:sz w:val="32"/>
          <w:szCs w:val="32"/>
          <w:highlight w:val="none"/>
          <w:lang w:val="en-US"/>
        </w:rPr>
        <w:t>批准后，该项目的性质、规模、地点、生产工艺或者污染防治措施发生重大变动，且可能导致环境影响显著变化</w:t>
      </w:r>
      <w:r>
        <w:rPr>
          <w:rFonts w:hint="default" w:ascii="Times New Roman" w:hAnsi="Times New Roman" w:eastAsia="仿宋_GB2312" w:cs="Times New Roman"/>
          <w:color w:val="auto"/>
          <w:spacing w:val="0"/>
          <w:kern w:val="2"/>
          <w:sz w:val="32"/>
          <w:szCs w:val="32"/>
          <w:highlight w:val="none"/>
          <w:lang w:val="en-US" w:eastAsia="zh-CN"/>
        </w:rPr>
        <w:t>(</w:t>
      </w:r>
      <w:r>
        <w:rPr>
          <w:rFonts w:hint="default" w:ascii="Times New Roman" w:hAnsi="Times New Roman" w:eastAsia="仿宋_GB2312" w:cs="Times New Roman"/>
          <w:color w:val="auto"/>
          <w:spacing w:val="0"/>
          <w:kern w:val="2"/>
          <w:sz w:val="32"/>
          <w:szCs w:val="32"/>
          <w:highlight w:val="none"/>
          <w:lang w:val="en-US"/>
        </w:rPr>
        <w:t>特别是不利环境影响加重</w:t>
      </w:r>
      <w:r>
        <w:rPr>
          <w:rFonts w:hint="default" w:ascii="Times New Roman" w:hAnsi="Times New Roman" w:eastAsia="仿宋_GB2312" w:cs="Times New Roman"/>
          <w:color w:val="auto"/>
          <w:spacing w:val="0"/>
          <w:kern w:val="2"/>
          <w:sz w:val="32"/>
          <w:szCs w:val="32"/>
          <w:highlight w:val="none"/>
          <w:lang w:val="en-US" w:eastAsia="zh-CN"/>
        </w:rPr>
        <w:t>)</w:t>
      </w:r>
      <w:r>
        <w:rPr>
          <w:rFonts w:hint="default" w:ascii="Times New Roman" w:hAnsi="Times New Roman" w:eastAsia="仿宋_GB2312" w:cs="Times New Roman"/>
          <w:color w:val="auto"/>
          <w:spacing w:val="0"/>
          <w:kern w:val="2"/>
          <w:sz w:val="32"/>
          <w:szCs w:val="32"/>
          <w:highlight w:val="none"/>
          <w:lang w:val="en-US"/>
        </w:rPr>
        <w:t>，应当重新报批该项目环境影响文件。</w:t>
      </w:r>
    </w:p>
    <w:p w14:paraId="5B9355DB">
      <w:pPr>
        <w:pStyle w:val="46"/>
        <w:keepNext w:val="0"/>
        <w:keepLines w:val="0"/>
        <w:pageBreakBefore w:val="0"/>
        <w:kinsoku/>
        <w:wordWrap/>
        <w:overflowPunct/>
        <w:topLinePunct w:val="0"/>
        <w:bidi w:val="0"/>
        <w:snapToGrid/>
        <w:spacing w:line="570" w:lineRule="exact"/>
        <w:ind w:left="0" w:leftChars="0" w:firstLine="640"/>
        <w:jc w:val="both"/>
        <w:textAlignment w:val="auto"/>
        <w:rPr>
          <w:rFonts w:hint="default" w:ascii="Times New Roman" w:hAnsi="Times New Roman" w:eastAsia="仿宋_GB2312" w:cs="Times New Roman"/>
          <w:color w:val="auto"/>
          <w:spacing w:val="0"/>
          <w:kern w:val="2"/>
          <w:sz w:val="32"/>
          <w:szCs w:val="32"/>
          <w:highlight w:val="none"/>
          <w:lang w:val="en-US"/>
        </w:rPr>
      </w:pPr>
      <w:r>
        <w:rPr>
          <w:rFonts w:hint="default" w:ascii="Times New Roman" w:hAnsi="Times New Roman" w:eastAsia="仿宋_GB2312" w:cs="Times New Roman"/>
          <w:color w:val="auto"/>
          <w:spacing w:val="0"/>
          <w:kern w:val="2"/>
          <w:sz w:val="32"/>
          <w:szCs w:val="32"/>
          <w:highlight w:val="none"/>
          <w:lang w:val="en-US" w:eastAsia="zh-CN"/>
        </w:rPr>
        <w:t>五</w:t>
      </w:r>
      <w:r>
        <w:rPr>
          <w:rFonts w:hint="default" w:ascii="Times New Roman" w:hAnsi="Times New Roman" w:eastAsia="仿宋_GB2312" w:cs="Times New Roman"/>
          <w:color w:val="auto"/>
          <w:spacing w:val="0"/>
          <w:kern w:val="2"/>
          <w:sz w:val="32"/>
          <w:szCs w:val="32"/>
          <w:highlight w:val="none"/>
          <w:lang w:val="en-US"/>
        </w:rPr>
        <w:t>、项目日常环境监督检查工作由本溪市生态环境保护综合行政执法队负责。</w:t>
      </w:r>
    </w:p>
    <w:p w14:paraId="4270B699">
      <w:pPr>
        <w:keepNext w:val="0"/>
        <w:keepLines w:val="0"/>
        <w:pageBreakBefore w:val="0"/>
        <w:kinsoku/>
        <w:wordWrap/>
        <w:overflowPunct/>
        <w:topLinePunct w:val="0"/>
        <w:bidi w:val="0"/>
        <w:spacing w:line="570" w:lineRule="exact"/>
        <w:ind w:left="0" w:leftChars="0" w:firstLine="2397" w:firstLineChars="705"/>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本溪市生态环境局</w:t>
      </w:r>
    </w:p>
    <w:p w14:paraId="169C2499">
      <w:pPr>
        <w:keepNext w:val="0"/>
        <w:keepLines w:val="0"/>
        <w:pageBreakBefore w:val="0"/>
        <w:kinsoku/>
        <w:wordWrap/>
        <w:overflowPunct/>
        <w:topLinePunct w:val="0"/>
        <w:bidi w:val="0"/>
        <w:spacing w:line="570" w:lineRule="exact"/>
        <w:ind w:left="0" w:leftChars="0" w:firstLine="2397" w:firstLineChars="705"/>
        <w:jc w:val="center"/>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xxxx</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日</w:t>
      </w:r>
    </w:p>
    <w:p w14:paraId="6C1D83DD">
      <w:pPr>
        <w:keepNext w:val="0"/>
        <w:keepLines w:val="0"/>
        <w:pageBreakBefore w:val="0"/>
        <w:kinsoku/>
        <w:wordWrap/>
        <w:overflowPunct/>
        <w:topLinePunct w:val="0"/>
        <w:bidi w:val="0"/>
        <w:snapToGrid w:val="0"/>
        <w:spacing w:line="570" w:lineRule="exact"/>
        <w:ind w:left="0" w:leftChars="0" w:firstLine="68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此件公开发布</w:t>
      </w:r>
      <w:r>
        <w:rPr>
          <w:rFonts w:hint="default" w:ascii="Times New Roman" w:hAnsi="Times New Roman" w:eastAsia="仿宋_GB2312" w:cs="Times New Roman"/>
          <w:color w:val="auto"/>
          <w:sz w:val="32"/>
          <w:szCs w:val="32"/>
          <w:highlight w:val="none"/>
          <w:lang w:eastAsia="zh-CN"/>
        </w:rPr>
        <w:t>)</w:t>
      </w:r>
    </w:p>
    <w:p w14:paraId="680D8235">
      <w:pPr>
        <w:pStyle w:val="21"/>
        <w:keepNext w:val="0"/>
        <w:keepLines w:val="0"/>
        <w:pageBreakBefore w:val="0"/>
        <w:kinsoku/>
        <w:wordWrap/>
        <w:overflowPunct/>
        <w:topLinePunct w:val="0"/>
        <w:bidi w:val="0"/>
        <w:spacing w:line="570" w:lineRule="exact"/>
        <w:ind w:left="0"/>
        <w:textAlignment w:val="auto"/>
        <w:rPr>
          <w:rFonts w:hint="default" w:ascii="Times New Roman" w:hAnsi="Times New Roman" w:eastAsia="仿宋_GB2312" w:cs="Times New Roman"/>
          <w:color w:val="auto"/>
          <w:highlight w:val="none"/>
        </w:rPr>
      </w:pPr>
    </w:p>
    <w:p w14:paraId="5C34CFF9">
      <w:pPr>
        <w:keepNext w:val="0"/>
        <w:keepLines w:val="0"/>
        <w:pageBreakBefore w:val="0"/>
        <w:kinsoku/>
        <w:wordWrap/>
        <w:overflowPunct/>
        <w:topLinePunct w:val="0"/>
        <w:bidi w:val="0"/>
        <w:snapToGrid w:val="0"/>
        <w:spacing w:line="570" w:lineRule="exact"/>
        <w:ind w:left="1105" w:leftChars="0" w:hanging="1105" w:hangingChars="325"/>
        <w:textAlignment w:val="auto"/>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sz w:val="32"/>
          <w:szCs w:val="32"/>
          <w:highlight w:val="none"/>
        </w:rPr>
        <w:t>抄送：本溪市生态环境保护综合行政执法队、</w:t>
      </w:r>
      <w:r>
        <w:rPr>
          <w:rFonts w:hint="default" w:ascii="Times New Roman" w:hAnsi="Times New Roman" w:eastAsia="仿宋_GB2312" w:cs="Times New Roman"/>
          <w:color w:val="auto"/>
          <w:sz w:val="32"/>
          <w:szCs w:val="32"/>
          <w:highlight w:val="none"/>
          <w:lang w:val="en-US" w:eastAsia="zh-CN"/>
        </w:rPr>
        <w:t>本溪市生态环境服务中心、</w:t>
      </w:r>
      <w:r>
        <w:rPr>
          <w:rFonts w:hint="default" w:ascii="Times New Roman" w:hAnsi="Times New Roman" w:eastAsia="仿宋_GB2312" w:cs="Times New Roman"/>
          <w:bCs/>
          <w:snapToGrid w:val="0"/>
          <w:color w:val="auto"/>
          <w:spacing w:val="10"/>
          <w:sz w:val="32"/>
          <w:szCs w:val="32"/>
          <w:highlight w:val="none"/>
          <w:lang w:eastAsia="zh-CN"/>
        </w:rPr>
        <w:t>辽宁隆昇咨询管理服务有限公司</w:t>
      </w:r>
    </w:p>
    <w:sectPr>
      <w:footerReference r:id="rId4" w:type="first"/>
      <w:footerReference r:id="rId3" w:type="default"/>
      <w:pgSz w:w="11907" w:h="16840"/>
      <w:pgMar w:top="1440" w:right="1797" w:bottom="1600" w:left="1797" w:header="851" w:footer="1134" w:gutter="0"/>
      <w:cols w:space="720" w:num="1"/>
      <w:titlePg/>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auto"/>
    <w:pitch w:val="default"/>
    <w:sig w:usb0="00000000" w:usb1="00000000"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7DAB8">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A800E">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CCA800E">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D8F4F">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D2C7B">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3BD2C7B">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73577"/>
    <w:multiLevelType w:val="singleLevel"/>
    <w:tmpl w:val="23673577"/>
    <w:lvl w:ilvl="0" w:tentative="0">
      <w:start w:val="1"/>
      <w:numFmt w:val="decimal"/>
      <w:pStyle w:val="36"/>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5NmJhNWMwMDU4Y2NmNjFmN2JlZjU1YTIwMTkzMzIifQ=="/>
  </w:docVars>
  <w:rsids>
    <w:rsidRoot w:val="1796435B"/>
    <w:rsid w:val="0005596D"/>
    <w:rsid w:val="000F014B"/>
    <w:rsid w:val="00100A44"/>
    <w:rsid w:val="00121F33"/>
    <w:rsid w:val="00122184"/>
    <w:rsid w:val="0013671F"/>
    <w:rsid w:val="00141B63"/>
    <w:rsid w:val="00143087"/>
    <w:rsid w:val="00152DB0"/>
    <w:rsid w:val="00235743"/>
    <w:rsid w:val="0025557F"/>
    <w:rsid w:val="002721FC"/>
    <w:rsid w:val="002D24CC"/>
    <w:rsid w:val="00302E94"/>
    <w:rsid w:val="0039054A"/>
    <w:rsid w:val="00434940"/>
    <w:rsid w:val="00490130"/>
    <w:rsid w:val="004A07F0"/>
    <w:rsid w:val="004C1A30"/>
    <w:rsid w:val="00536F00"/>
    <w:rsid w:val="005C2A7D"/>
    <w:rsid w:val="005C4520"/>
    <w:rsid w:val="00693428"/>
    <w:rsid w:val="006B153E"/>
    <w:rsid w:val="006E6370"/>
    <w:rsid w:val="008629CF"/>
    <w:rsid w:val="008C7379"/>
    <w:rsid w:val="008D3533"/>
    <w:rsid w:val="008D5548"/>
    <w:rsid w:val="00932262"/>
    <w:rsid w:val="00972023"/>
    <w:rsid w:val="009F517A"/>
    <w:rsid w:val="00A00642"/>
    <w:rsid w:val="00B513B6"/>
    <w:rsid w:val="00B5544D"/>
    <w:rsid w:val="00B82B10"/>
    <w:rsid w:val="00BF399E"/>
    <w:rsid w:val="00C212FE"/>
    <w:rsid w:val="00C27F5D"/>
    <w:rsid w:val="00C65306"/>
    <w:rsid w:val="00CE1454"/>
    <w:rsid w:val="00D04025"/>
    <w:rsid w:val="00D10361"/>
    <w:rsid w:val="00D21309"/>
    <w:rsid w:val="00E14769"/>
    <w:rsid w:val="00E72B00"/>
    <w:rsid w:val="00E919E4"/>
    <w:rsid w:val="00EA7BA7"/>
    <w:rsid w:val="00EB577A"/>
    <w:rsid w:val="00ED515A"/>
    <w:rsid w:val="00F77E0F"/>
    <w:rsid w:val="00FE4037"/>
    <w:rsid w:val="018402E7"/>
    <w:rsid w:val="018502B5"/>
    <w:rsid w:val="01A43D0E"/>
    <w:rsid w:val="02112401"/>
    <w:rsid w:val="02363986"/>
    <w:rsid w:val="02435241"/>
    <w:rsid w:val="02EC2C31"/>
    <w:rsid w:val="03033A8D"/>
    <w:rsid w:val="032A5167"/>
    <w:rsid w:val="032E7B21"/>
    <w:rsid w:val="03873BFC"/>
    <w:rsid w:val="041F076E"/>
    <w:rsid w:val="043C314F"/>
    <w:rsid w:val="04BC7BAF"/>
    <w:rsid w:val="04DB5D92"/>
    <w:rsid w:val="059C2AE4"/>
    <w:rsid w:val="05D35D57"/>
    <w:rsid w:val="06FF24E5"/>
    <w:rsid w:val="0712113E"/>
    <w:rsid w:val="07131B19"/>
    <w:rsid w:val="076063E3"/>
    <w:rsid w:val="076B441E"/>
    <w:rsid w:val="076D0BB3"/>
    <w:rsid w:val="07D91D1C"/>
    <w:rsid w:val="082C33D6"/>
    <w:rsid w:val="08583943"/>
    <w:rsid w:val="089963F4"/>
    <w:rsid w:val="08B72D2E"/>
    <w:rsid w:val="096A420C"/>
    <w:rsid w:val="0A051C47"/>
    <w:rsid w:val="0AA02A98"/>
    <w:rsid w:val="0AE636BA"/>
    <w:rsid w:val="0B362BA8"/>
    <w:rsid w:val="0B675FDC"/>
    <w:rsid w:val="0B8B050F"/>
    <w:rsid w:val="0BC775EF"/>
    <w:rsid w:val="0BF73EE3"/>
    <w:rsid w:val="0C27068D"/>
    <w:rsid w:val="0D1129FD"/>
    <w:rsid w:val="0D3D0438"/>
    <w:rsid w:val="0D8D297C"/>
    <w:rsid w:val="0DA40281"/>
    <w:rsid w:val="0DBA0D48"/>
    <w:rsid w:val="0DE54E65"/>
    <w:rsid w:val="0E2D331F"/>
    <w:rsid w:val="0E3A4191"/>
    <w:rsid w:val="0EA47C31"/>
    <w:rsid w:val="0EB31E80"/>
    <w:rsid w:val="0F36663F"/>
    <w:rsid w:val="100E5690"/>
    <w:rsid w:val="10820EE8"/>
    <w:rsid w:val="10D3630F"/>
    <w:rsid w:val="10E41D25"/>
    <w:rsid w:val="115E01DA"/>
    <w:rsid w:val="11803F9C"/>
    <w:rsid w:val="12394F79"/>
    <w:rsid w:val="12704669"/>
    <w:rsid w:val="129E02B8"/>
    <w:rsid w:val="130C1D8B"/>
    <w:rsid w:val="13C20DC8"/>
    <w:rsid w:val="13E405F4"/>
    <w:rsid w:val="14411E19"/>
    <w:rsid w:val="144C3DF9"/>
    <w:rsid w:val="148B5FBC"/>
    <w:rsid w:val="14E44445"/>
    <w:rsid w:val="15187863"/>
    <w:rsid w:val="15EF0DCB"/>
    <w:rsid w:val="16533DA0"/>
    <w:rsid w:val="16897AA8"/>
    <w:rsid w:val="17116A77"/>
    <w:rsid w:val="172B0B5F"/>
    <w:rsid w:val="172B374B"/>
    <w:rsid w:val="173C7F33"/>
    <w:rsid w:val="1796435B"/>
    <w:rsid w:val="18027CCB"/>
    <w:rsid w:val="1806146D"/>
    <w:rsid w:val="19201A4E"/>
    <w:rsid w:val="19EC5D2C"/>
    <w:rsid w:val="19F0117F"/>
    <w:rsid w:val="1A0F4768"/>
    <w:rsid w:val="1A1E63CF"/>
    <w:rsid w:val="1B010714"/>
    <w:rsid w:val="1B0A19BB"/>
    <w:rsid w:val="1BCD288A"/>
    <w:rsid w:val="1BEB45CE"/>
    <w:rsid w:val="1CBF2475"/>
    <w:rsid w:val="1CC46D5E"/>
    <w:rsid w:val="1D267DE3"/>
    <w:rsid w:val="1DD928A8"/>
    <w:rsid w:val="1DEE2BDF"/>
    <w:rsid w:val="1E1975C7"/>
    <w:rsid w:val="1E49784A"/>
    <w:rsid w:val="1E655C76"/>
    <w:rsid w:val="1EE933EB"/>
    <w:rsid w:val="1F333E85"/>
    <w:rsid w:val="1FCB08A1"/>
    <w:rsid w:val="1FDC6D7A"/>
    <w:rsid w:val="20277593"/>
    <w:rsid w:val="206E043A"/>
    <w:rsid w:val="208674DA"/>
    <w:rsid w:val="20E23C78"/>
    <w:rsid w:val="21352D06"/>
    <w:rsid w:val="214E2B5A"/>
    <w:rsid w:val="216F2DE6"/>
    <w:rsid w:val="219F6246"/>
    <w:rsid w:val="21C66054"/>
    <w:rsid w:val="21F10161"/>
    <w:rsid w:val="22983C4D"/>
    <w:rsid w:val="22ED6098"/>
    <w:rsid w:val="233521D5"/>
    <w:rsid w:val="23A5288A"/>
    <w:rsid w:val="241B24EC"/>
    <w:rsid w:val="259B0AB8"/>
    <w:rsid w:val="26062970"/>
    <w:rsid w:val="26103E0A"/>
    <w:rsid w:val="26C17FC8"/>
    <w:rsid w:val="26DA3B12"/>
    <w:rsid w:val="27204FF0"/>
    <w:rsid w:val="2779341F"/>
    <w:rsid w:val="28257C71"/>
    <w:rsid w:val="286020C5"/>
    <w:rsid w:val="28A71F0D"/>
    <w:rsid w:val="28B46187"/>
    <w:rsid w:val="28E55E8C"/>
    <w:rsid w:val="28EA0DA1"/>
    <w:rsid w:val="29257339"/>
    <w:rsid w:val="29AD18A3"/>
    <w:rsid w:val="2B6C1593"/>
    <w:rsid w:val="2B8A1DF5"/>
    <w:rsid w:val="2BD13068"/>
    <w:rsid w:val="2BF821DF"/>
    <w:rsid w:val="2CB847EB"/>
    <w:rsid w:val="2CFE05A2"/>
    <w:rsid w:val="2D90420E"/>
    <w:rsid w:val="2DE61A6C"/>
    <w:rsid w:val="2E80471D"/>
    <w:rsid w:val="2EB227E3"/>
    <w:rsid w:val="2F1C72B3"/>
    <w:rsid w:val="2F5F3299"/>
    <w:rsid w:val="2F6363D0"/>
    <w:rsid w:val="2F951192"/>
    <w:rsid w:val="2FFB5400"/>
    <w:rsid w:val="30984FB3"/>
    <w:rsid w:val="30EF5F72"/>
    <w:rsid w:val="30F72AF3"/>
    <w:rsid w:val="315E0057"/>
    <w:rsid w:val="323F5534"/>
    <w:rsid w:val="32922F50"/>
    <w:rsid w:val="32EE0F67"/>
    <w:rsid w:val="32F32A21"/>
    <w:rsid w:val="331C0B79"/>
    <w:rsid w:val="33634ED9"/>
    <w:rsid w:val="33FD3A7A"/>
    <w:rsid w:val="34552F55"/>
    <w:rsid w:val="349B511E"/>
    <w:rsid w:val="34C25A6D"/>
    <w:rsid w:val="34DB6452"/>
    <w:rsid w:val="356E0B85"/>
    <w:rsid w:val="35C64E84"/>
    <w:rsid w:val="35ED0490"/>
    <w:rsid w:val="364D2448"/>
    <w:rsid w:val="36E7716E"/>
    <w:rsid w:val="37CD1A92"/>
    <w:rsid w:val="37E91E5C"/>
    <w:rsid w:val="37EA0C97"/>
    <w:rsid w:val="38141050"/>
    <w:rsid w:val="3829737E"/>
    <w:rsid w:val="384016A7"/>
    <w:rsid w:val="387D7E92"/>
    <w:rsid w:val="390153E5"/>
    <w:rsid w:val="397B0459"/>
    <w:rsid w:val="39E7009F"/>
    <w:rsid w:val="39FB720A"/>
    <w:rsid w:val="3A3C6A5B"/>
    <w:rsid w:val="3A95280D"/>
    <w:rsid w:val="3B2075C0"/>
    <w:rsid w:val="3B306291"/>
    <w:rsid w:val="3B497682"/>
    <w:rsid w:val="3BA3206B"/>
    <w:rsid w:val="3BCE402B"/>
    <w:rsid w:val="3BEE647B"/>
    <w:rsid w:val="3BF17763"/>
    <w:rsid w:val="3C162A79"/>
    <w:rsid w:val="3C213BF5"/>
    <w:rsid w:val="3DBB0A2E"/>
    <w:rsid w:val="3DC64D6D"/>
    <w:rsid w:val="3DD6559A"/>
    <w:rsid w:val="3E27297A"/>
    <w:rsid w:val="3E2E36AF"/>
    <w:rsid w:val="3E4573F0"/>
    <w:rsid w:val="3F9159FA"/>
    <w:rsid w:val="3FC05C56"/>
    <w:rsid w:val="40046CA8"/>
    <w:rsid w:val="40296F4A"/>
    <w:rsid w:val="403D64A9"/>
    <w:rsid w:val="405E3BCF"/>
    <w:rsid w:val="41482E63"/>
    <w:rsid w:val="414D090F"/>
    <w:rsid w:val="41B76CB4"/>
    <w:rsid w:val="41F73FFF"/>
    <w:rsid w:val="42EA4E42"/>
    <w:rsid w:val="432B6695"/>
    <w:rsid w:val="433246B3"/>
    <w:rsid w:val="435272F0"/>
    <w:rsid w:val="43AA411E"/>
    <w:rsid w:val="44AF3E5C"/>
    <w:rsid w:val="44D87952"/>
    <w:rsid w:val="454450F9"/>
    <w:rsid w:val="456D21BF"/>
    <w:rsid w:val="45A24D25"/>
    <w:rsid w:val="45C02133"/>
    <w:rsid w:val="45D37EC6"/>
    <w:rsid w:val="469A5235"/>
    <w:rsid w:val="46C626A7"/>
    <w:rsid w:val="46DD15C6"/>
    <w:rsid w:val="46EB7B00"/>
    <w:rsid w:val="47044DA5"/>
    <w:rsid w:val="474F4E44"/>
    <w:rsid w:val="482E528F"/>
    <w:rsid w:val="485711CD"/>
    <w:rsid w:val="48694BF1"/>
    <w:rsid w:val="487703B1"/>
    <w:rsid w:val="489B2349"/>
    <w:rsid w:val="48CB0CFF"/>
    <w:rsid w:val="49125027"/>
    <w:rsid w:val="494565CC"/>
    <w:rsid w:val="49C550C7"/>
    <w:rsid w:val="49DA1036"/>
    <w:rsid w:val="4A061107"/>
    <w:rsid w:val="4A6B1E80"/>
    <w:rsid w:val="4C31567B"/>
    <w:rsid w:val="4C8233D1"/>
    <w:rsid w:val="4C916512"/>
    <w:rsid w:val="4CB66B41"/>
    <w:rsid w:val="4CD07C03"/>
    <w:rsid w:val="4CED0B60"/>
    <w:rsid w:val="4CF95FDB"/>
    <w:rsid w:val="4D615DAC"/>
    <w:rsid w:val="4E7A212F"/>
    <w:rsid w:val="4E847A59"/>
    <w:rsid w:val="4F6C4EA5"/>
    <w:rsid w:val="502E5634"/>
    <w:rsid w:val="504F45A9"/>
    <w:rsid w:val="50711030"/>
    <w:rsid w:val="50760BB0"/>
    <w:rsid w:val="5088591F"/>
    <w:rsid w:val="50E131C1"/>
    <w:rsid w:val="516205C2"/>
    <w:rsid w:val="517E6B14"/>
    <w:rsid w:val="52302EF2"/>
    <w:rsid w:val="52654E30"/>
    <w:rsid w:val="52957EF4"/>
    <w:rsid w:val="52F61F59"/>
    <w:rsid w:val="54031DFA"/>
    <w:rsid w:val="541741D6"/>
    <w:rsid w:val="54722B28"/>
    <w:rsid w:val="547814E5"/>
    <w:rsid w:val="54A668B4"/>
    <w:rsid w:val="54A8633F"/>
    <w:rsid w:val="54D24857"/>
    <w:rsid w:val="54ED079A"/>
    <w:rsid w:val="55007F65"/>
    <w:rsid w:val="5528771B"/>
    <w:rsid w:val="552A3826"/>
    <w:rsid w:val="555770FA"/>
    <w:rsid w:val="55632085"/>
    <w:rsid w:val="56597161"/>
    <w:rsid w:val="56912749"/>
    <w:rsid w:val="57105ABA"/>
    <w:rsid w:val="576552F4"/>
    <w:rsid w:val="57A5314F"/>
    <w:rsid w:val="57E645FA"/>
    <w:rsid w:val="57F549C2"/>
    <w:rsid w:val="58164938"/>
    <w:rsid w:val="584274DB"/>
    <w:rsid w:val="5A160B46"/>
    <w:rsid w:val="5A822A56"/>
    <w:rsid w:val="5AA65CD3"/>
    <w:rsid w:val="5B1533D9"/>
    <w:rsid w:val="5B1E5BCC"/>
    <w:rsid w:val="5B767EE0"/>
    <w:rsid w:val="5B7839DE"/>
    <w:rsid w:val="5BAD274A"/>
    <w:rsid w:val="5CA02A22"/>
    <w:rsid w:val="5D5061F6"/>
    <w:rsid w:val="5D767C22"/>
    <w:rsid w:val="5DC539D3"/>
    <w:rsid w:val="5DCB3ACF"/>
    <w:rsid w:val="5DE4494F"/>
    <w:rsid w:val="5DF70D68"/>
    <w:rsid w:val="5E1F43E2"/>
    <w:rsid w:val="5F0D013B"/>
    <w:rsid w:val="60A429B1"/>
    <w:rsid w:val="60F8107F"/>
    <w:rsid w:val="6116474A"/>
    <w:rsid w:val="61AB5CF3"/>
    <w:rsid w:val="61B551C2"/>
    <w:rsid w:val="61E5788F"/>
    <w:rsid w:val="62204A3D"/>
    <w:rsid w:val="62353C0D"/>
    <w:rsid w:val="6241266D"/>
    <w:rsid w:val="62984579"/>
    <w:rsid w:val="62C007E7"/>
    <w:rsid w:val="630B680E"/>
    <w:rsid w:val="636228EB"/>
    <w:rsid w:val="645F01E2"/>
    <w:rsid w:val="649B5961"/>
    <w:rsid w:val="64D846F3"/>
    <w:rsid w:val="6509385A"/>
    <w:rsid w:val="656568E6"/>
    <w:rsid w:val="65D24F1C"/>
    <w:rsid w:val="666D1130"/>
    <w:rsid w:val="67A01CFD"/>
    <w:rsid w:val="68C5346A"/>
    <w:rsid w:val="68EB7E6E"/>
    <w:rsid w:val="691B69B6"/>
    <w:rsid w:val="691F232A"/>
    <w:rsid w:val="69E563C9"/>
    <w:rsid w:val="6A1178C7"/>
    <w:rsid w:val="6A38085E"/>
    <w:rsid w:val="6AFD7857"/>
    <w:rsid w:val="6B3A6A4D"/>
    <w:rsid w:val="6BC54253"/>
    <w:rsid w:val="6C026FBD"/>
    <w:rsid w:val="6C046B37"/>
    <w:rsid w:val="6C146412"/>
    <w:rsid w:val="6C1A6167"/>
    <w:rsid w:val="6C3118E9"/>
    <w:rsid w:val="6C6104BC"/>
    <w:rsid w:val="6CCA3A6F"/>
    <w:rsid w:val="6CCE55B8"/>
    <w:rsid w:val="6CED5810"/>
    <w:rsid w:val="6DA73A96"/>
    <w:rsid w:val="6EDF2BD2"/>
    <w:rsid w:val="6EEA0E9F"/>
    <w:rsid w:val="6EF74724"/>
    <w:rsid w:val="710234E6"/>
    <w:rsid w:val="71804EA4"/>
    <w:rsid w:val="718B55F7"/>
    <w:rsid w:val="720C2BDC"/>
    <w:rsid w:val="72411EE6"/>
    <w:rsid w:val="72A90315"/>
    <w:rsid w:val="72CA09C6"/>
    <w:rsid w:val="72F64917"/>
    <w:rsid w:val="73143AAC"/>
    <w:rsid w:val="734D6776"/>
    <w:rsid w:val="73A7229B"/>
    <w:rsid w:val="74155FFE"/>
    <w:rsid w:val="7460720F"/>
    <w:rsid w:val="74B113BF"/>
    <w:rsid w:val="74EB1043"/>
    <w:rsid w:val="75214D75"/>
    <w:rsid w:val="75674200"/>
    <w:rsid w:val="75F307DE"/>
    <w:rsid w:val="768415BD"/>
    <w:rsid w:val="768C2AEF"/>
    <w:rsid w:val="76C41A5E"/>
    <w:rsid w:val="77454D57"/>
    <w:rsid w:val="77587BF9"/>
    <w:rsid w:val="77797D0D"/>
    <w:rsid w:val="777D6539"/>
    <w:rsid w:val="77A14A92"/>
    <w:rsid w:val="77FF51B6"/>
    <w:rsid w:val="78306CA6"/>
    <w:rsid w:val="78D67AA0"/>
    <w:rsid w:val="79495A6F"/>
    <w:rsid w:val="79AC07A9"/>
    <w:rsid w:val="7A3A29FC"/>
    <w:rsid w:val="7A4D63F4"/>
    <w:rsid w:val="7A5F3547"/>
    <w:rsid w:val="7A6608C9"/>
    <w:rsid w:val="7AA55685"/>
    <w:rsid w:val="7AD95625"/>
    <w:rsid w:val="7B5A1BAF"/>
    <w:rsid w:val="7C576023"/>
    <w:rsid w:val="7CB4284F"/>
    <w:rsid w:val="7D4F51B1"/>
    <w:rsid w:val="7DCC76C3"/>
    <w:rsid w:val="7E7D27A3"/>
    <w:rsid w:val="7E863FE4"/>
    <w:rsid w:val="7E884C3C"/>
    <w:rsid w:val="7EAA3560"/>
    <w:rsid w:val="7EBA2597"/>
    <w:rsid w:val="7FBB0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Cs/>
      <w:snapToGrid w:val="0"/>
      <w:spacing w:val="10"/>
      <w:sz w:val="28"/>
      <w:szCs w:val="24"/>
      <w:lang w:val="en-US" w:eastAsia="zh-CN" w:bidi="ar-SA"/>
    </w:rPr>
  </w:style>
  <w:style w:type="paragraph" w:styleId="4">
    <w:name w:val="heading 1"/>
    <w:basedOn w:val="1"/>
    <w:next w:val="1"/>
    <w:qFormat/>
    <w:uiPriority w:val="99"/>
    <w:pPr>
      <w:keepNext/>
      <w:overflowPunct w:val="0"/>
      <w:snapToGrid w:val="0"/>
      <w:spacing w:before="120" w:after="160" w:line="259" w:lineRule="auto"/>
      <w:ind w:left="432" w:hanging="432"/>
      <w:outlineLvl w:val="0"/>
    </w:pPr>
    <w:rPr>
      <w:rFonts w:eastAsia="黑体"/>
      <w:b/>
      <w:color w:val="000000"/>
      <w:kern w:val="44"/>
      <w:sz w:val="30"/>
      <w:szCs w:val="30"/>
    </w:rPr>
  </w:style>
  <w:style w:type="paragraph" w:styleId="5">
    <w:name w:val="heading 3"/>
    <w:basedOn w:val="1"/>
    <w:next w:val="1"/>
    <w:qFormat/>
    <w:uiPriority w:val="0"/>
    <w:pPr>
      <w:keepNext/>
      <w:keepLines/>
      <w:spacing w:before="260" w:after="260" w:line="416" w:lineRule="auto"/>
      <w:outlineLvl w:val="2"/>
    </w:pPr>
    <w:rPr>
      <w:b/>
      <w:sz w:val="32"/>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sz w:val="18"/>
      <w:szCs w:val="20"/>
    </w:rPr>
  </w:style>
  <w:style w:type="paragraph" w:styleId="3">
    <w:name w:val="index 5"/>
    <w:basedOn w:val="1"/>
    <w:next w:val="1"/>
    <w:qFormat/>
    <w:uiPriority w:val="0"/>
    <w:pPr>
      <w:ind w:left="1680"/>
    </w:pPr>
  </w:style>
  <w:style w:type="paragraph" w:styleId="7">
    <w:name w:val="List 3"/>
    <w:basedOn w:val="1"/>
    <w:next w:val="1"/>
    <w:qFormat/>
    <w:uiPriority w:val="0"/>
    <w:pPr>
      <w:ind w:left="100" w:leftChars="400" w:hanging="200" w:hangingChars="200"/>
    </w:pPr>
  </w:style>
  <w:style w:type="paragraph" w:styleId="8">
    <w:name w:val="Normal Indent"/>
    <w:basedOn w:val="1"/>
    <w:next w:val="6"/>
    <w:qFormat/>
    <w:uiPriority w:val="0"/>
    <w:pPr>
      <w:ind w:firstLine="420" w:firstLineChars="200"/>
    </w:pPr>
    <w:rPr>
      <w:rFonts w:ascii="Arial" w:hAnsi="Arial" w:cs="Arial"/>
      <w:sz w:val="21"/>
    </w:rPr>
  </w:style>
  <w:style w:type="paragraph" w:styleId="9">
    <w:name w:val="annotation text"/>
    <w:basedOn w:val="1"/>
    <w:qFormat/>
    <w:uiPriority w:val="0"/>
    <w:pPr>
      <w:jc w:val="left"/>
    </w:pPr>
  </w:style>
  <w:style w:type="paragraph" w:styleId="10">
    <w:name w:val="Body Text Indent"/>
    <w:basedOn w:val="1"/>
    <w:next w:val="11"/>
    <w:qFormat/>
    <w:uiPriority w:val="0"/>
    <w:pPr>
      <w:adjustRightInd w:val="0"/>
      <w:snapToGrid w:val="0"/>
      <w:spacing w:line="300" w:lineRule="auto"/>
      <w:ind w:firstLine="680" w:firstLineChars="200"/>
    </w:pPr>
    <w:rPr>
      <w:rFonts w:ascii="仿宋_GB2312" w:hAnsi="宋体" w:eastAsia="仿宋_GB2312"/>
      <w:sz w:val="32"/>
    </w:rPr>
  </w:style>
  <w:style w:type="paragraph" w:styleId="11">
    <w:name w:val="header"/>
    <w:basedOn w:val="1"/>
    <w:next w:val="12"/>
    <w:qFormat/>
    <w:uiPriority w:val="0"/>
    <w:pPr>
      <w:pBdr>
        <w:bottom w:val="single" w:color="auto" w:sz="6" w:space="1"/>
      </w:pBdr>
      <w:tabs>
        <w:tab w:val="center" w:pos="4153"/>
        <w:tab w:val="right" w:pos="8306"/>
      </w:tabs>
      <w:snapToGrid w:val="0"/>
      <w:jc w:val="center"/>
    </w:pPr>
    <w:rPr>
      <w:sz w:val="18"/>
      <w:szCs w:val="18"/>
    </w:rPr>
  </w:style>
  <w:style w:type="paragraph" w:customStyle="1" w:styleId="12">
    <w:name w:val="样式5"/>
    <w:basedOn w:val="8"/>
    <w:next w:val="1"/>
    <w:qFormat/>
    <w:uiPriority w:val="0"/>
    <w:pPr>
      <w:spacing w:line="380" w:lineRule="exact"/>
      <w:ind w:firstLine="566" w:firstLineChars="202"/>
    </w:pPr>
    <w:rPr>
      <w:rFonts w:ascii="Times New Roman" w:hAnsi="Times New Roman" w:eastAsia="华文行楷" w:cs="Times New Roman"/>
      <w:sz w:val="28"/>
    </w:rPr>
  </w:style>
  <w:style w:type="paragraph" w:styleId="13">
    <w:name w:val="Plain Text"/>
    <w:basedOn w:val="1"/>
    <w:next w:val="14"/>
    <w:qFormat/>
    <w:uiPriority w:val="0"/>
    <w:rPr>
      <w:rFonts w:ascii="宋体" w:hAnsi="Courier New" w:cs="Courier New"/>
      <w:sz w:val="21"/>
      <w:szCs w:val="21"/>
    </w:rPr>
  </w:style>
  <w:style w:type="paragraph" w:styleId="14">
    <w:name w:val="toc 1"/>
    <w:basedOn w:val="1"/>
    <w:next w:val="1"/>
    <w:semiHidden/>
    <w:qFormat/>
    <w:uiPriority w:val="0"/>
    <w:pPr>
      <w:tabs>
        <w:tab w:val="right" w:leader="dot" w:pos="8296"/>
      </w:tabs>
      <w:spacing w:before="120" w:after="120"/>
      <w:jc w:val="left"/>
    </w:pPr>
    <w:rPr>
      <w:rFonts w:eastAsia="仿宋_GB2312"/>
      <w:caps/>
      <w:snapToGrid/>
      <w:color w:val="000000"/>
      <w:spacing w:val="0"/>
      <w:kern w:val="2"/>
      <w:sz w:val="24"/>
    </w:rPr>
  </w:style>
  <w:style w:type="paragraph" w:styleId="15">
    <w:name w:val="Body Text Indent 2"/>
    <w:basedOn w:val="1"/>
    <w:next w:val="16"/>
    <w:qFormat/>
    <w:uiPriority w:val="0"/>
    <w:pPr>
      <w:spacing w:line="500" w:lineRule="exact"/>
      <w:ind w:left="72" w:hanging="72" w:hangingChars="30"/>
      <w:jc w:val="left"/>
    </w:pPr>
    <w:rPr>
      <w:rFonts w:ascii="宋体" w:hAnsi="宋体"/>
      <w:sz w:val="24"/>
    </w:rPr>
  </w:style>
  <w:style w:type="paragraph" w:styleId="16">
    <w:name w:val="Body Text First Indent"/>
    <w:basedOn w:val="2"/>
    <w:next w:val="1"/>
    <w:qFormat/>
    <w:uiPriority w:val="0"/>
    <w:pPr>
      <w:overflowPunct w:val="0"/>
      <w:autoSpaceDE w:val="0"/>
      <w:autoSpaceDN w:val="0"/>
      <w:adjustRightInd w:val="0"/>
      <w:spacing w:line="360" w:lineRule="auto"/>
      <w:ind w:firstLine="539" w:firstLineChars="200"/>
      <w:textAlignment w:val="baseline"/>
    </w:pPr>
    <w:rPr>
      <w:sz w:val="28"/>
    </w:rPr>
  </w:style>
  <w:style w:type="paragraph" w:styleId="17">
    <w:name w:val="footer"/>
    <w:basedOn w:val="1"/>
    <w:next w:val="1"/>
    <w:qFormat/>
    <w:uiPriority w:val="99"/>
    <w:pPr>
      <w:tabs>
        <w:tab w:val="center" w:pos="4153"/>
        <w:tab w:val="right" w:pos="8306"/>
      </w:tabs>
      <w:snapToGrid w:val="0"/>
      <w:jc w:val="left"/>
    </w:pPr>
    <w:rPr>
      <w:sz w:val="18"/>
      <w:szCs w:val="18"/>
    </w:rPr>
  </w:style>
  <w:style w:type="paragraph" w:styleId="18">
    <w:name w:val="List"/>
    <w:basedOn w:val="1"/>
    <w:next w:val="1"/>
    <w:qFormat/>
    <w:uiPriority w:val="0"/>
    <w:pPr>
      <w:adjustRightInd w:val="0"/>
      <w:snapToGrid w:val="0"/>
      <w:jc w:val="center"/>
      <w:textAlignment w:val="baseline"/>
    </w:pPr>
    <w:rPr>
      <w:rFonts w:ascii="Times New Roman" w:hAnsi="Times New Roman"/>
      <w:snapToGrid w:val="0"/>
      <w:sz w:val="21"/>
      <w:szCs w:val="20"/>
    </w:rPr>
  </w:style>
  <w:style w:type="paragraph" w:styleId="19">
    <w:name w:val="table of figures"/>
    <w:basedOn w:val="1"/>
    <w:next w:val="1"/>
    <w:unhideWhenUsed/>
    <w:qFormat/>
    <w:uiPriority w:val="99"/>
    <w:pPr>
      <w:ind w:left="200" w:leftChars="200" w:hanging="200" w:hangingChars="200"/>
    </w:pPr>
  </w:style>
  <w:style w:type="paragraph" w:styleId="20">
    <w:name w:val="Normal (Web)"/>
    <w:basedOn w:val="1"/>
    <w:qFormat/>
    <w:uiPriority w:val="0"/>
    <w:rPr>
      <w:sz w:val="24"/>
    </w:rPr>
  </w:style>
  <w:style w:type="paragraph" w:styleId="21">
    <w:name w:val="Body Text First Indent 2"/>
    <w:basedOn w:val="10"/>
    <w:unhideWhenUsed/>
    <w:qFormat/>
    <w:uiPriority w:val="0"/>
    <w:pPr>
      <w:spacing w:line="240" w:lineRule="auto"/>
      <w:ind w:firstLine="561"/>
    </w:pPr>
    <w:rPr>
      <w:b/>
      <w:iCs/>
      <w:sz w:val="28"/>
      <w:szCs w:val="28"/>
    </w:rPr>
  </w:style>
  <w:style w:type="table" w:styleId="23">
    <w:name w:val="Table Grid"/>
    <w:basedOn w:val="22"/>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FollowedHyperlink"/>
    <w:basedOn w:val="24"/>
    <w:qFormat/>
    <w:uiPriority w:val="0"/>
    <w:rPr>
      <w:color w:val="800080"/>
      <w:u w:val="none"/>
    </w:rPr>
  </w:style>
  <w:style w:type="character" w:styleId="27">
    <w:name w:val="Emphasis"/>
    <w:basedOn w:val="24"/>
    <w:qFormat/>
    <w:uiPriority w:val="0"/>
    <w:rPr>
      <w:i/>
    </w:rPr>
  </w:style>
  <w:style w:type="character" w:styleId="28">
    <w:name w:val="Hyperlink"/>
    <w:basedOn w:val="24"/>
    <w:qFormat/>
    <w:uiPriority w:val="0"/>
    <w:rPr>
      <w:color w:val="0000FF"/>
      <w:u w:val="none"/>
    </w:rPr>
  </w:style>
  <w:style w:type="paragraph" w:customStyle="1" w:styleId="29">
    <w:name w:val="Normal (Web)1"/>
    <w:basedOn w:val="1"/>
    <w:next w:val="30"/>
    <w:qFormat/>
    <w:uiPriority w:val="0"/>
    <w:pPr>
      <w:widowControl/>
    </w:pPr>
    <w:rPr>
      <w:rFonts w:ascii="宋体" w:eastAsia="宋体" w:cs="Times New Roman"/>
      <w:sz w:val="24"/>
      <w:szCs w:val="21"/>
    </w:rPr>
  </w:style>
  <w:style w:type="paragraph" w:customStyle="1" w:styleId="30">
    <w:name w:val="Date1"/>
    <w:basedOn w:val="1"/>
    <w:next w:val="1"/>
    <w:qFormat/>
    <w:uiPriority w:val="0"/>
    <w:pPr>
      <w:adjustRightInd w:val="0"/>
      <w:spacing w:line="240" w:lineRule="auto"/>
    </w:pPr>
    <w:rPr>
      <w:sz w:val="21"/>
      <w:szCs w:val="20"/>
    </w:rPr>
  </w:style>
  <w:style w:type="paragraph" w:customStyle="1" w:styleId="31">
    <w:name w:val="Default"/>
    <w:basedOn w:val="32"/>
    <w:next w:val="18"/>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2">
    <w:name w:val="纯文本1"/>
    <w:basedOn w:val="1"/>
    <w:next w:val="13"/>
    <w:qFormat/>
    <w:uiPriority w:val="0"/>
    <w:rPr>
      <w:rFonts w:ascii="宋体" w:hAnsi="Courier New" w:cs="Courier New"/>
      <w:sz w:val="21"/>
      <w:szCs w:val="21"/>
    </w:rPr>
  </w:style>
  <w:style w:type="paragraph" w:customStyle="1" w:styleId="33">
    <w:name w:val="_Style 4"/>
    <w:next w:val="1"/>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34">
    <w:name w:val="0正文"/>
    <w:basedOn w:val="10"/>
    <w:next w:val="11"/>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35">
    <w:name w:val="样式 标题 1一级标题 + 段前: 0.5 行 段后: 0.5 行"/>
    <w:basedOn w:val="4"/>
    <w:qFormat/>
    <w:uiPriority w:val="0"/>
    <w:pPr>
      <w:spacing w:line="320" w:lineRule="exact"/>
      <w:outlineLvl w:val="9"/>
    </w:pPr>
    <w:rPr>
      <w:rFonts w:eastAsia="宋体"/>
      <w:spacing w:val="-6"/>
      <w:sz w:val="21"/>
      <w:szCs w:val="21"/>
    </w:rPr>
  </w:style>
  <w:style w:type="paragraph" w:customStyle="1" w:styleId="36">
    <w:name w:val="报告正文"/>
    <w:basedOn w:val="1"/>
    <w:next w:val="1"/>
    <w:qFormat/>
    <w:uiPriority w:val="0"/>
    <w:pPr>
      <w:numPr>
        <w:ilvl w:val="0"/>
        <w:numId w:val="1"/>
      </w:numPr>
      <w:spacing w:line="360" w:lineRule="auto"/>
      <w:ind w:firstLine="720" w:firstLineChars="200"/>
    </w:p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8">
    <w:name w:val="fr4"/>
    <w:basedOn w:val="24"/>
    <w:qFormat/>
    <w:uiPriority w:val="0"/>
  </w:style>
  <w:style w:type="character" w:customStyle="1" w:styleId="39">
    <w:name w:val="last-child"/>
    <w:basedOn w:val="24"/>
    <w:qFormat/>
    <w:uiPriority w:val="0"/>
  </w:style>
  <w:style w:type="character" w:customStyle="1" w:styleId="40">
    <w:name w:val="before"/>
    <w:basedOn w:val="24"/>
    <w:qFormat/>
    <w:uiPriority w:val="0"/>
    <w:rPr>
      <w:rFonts w:hint="default" w:ascii="iconfont" w:hAnsi="iconfont" w:eastAsia="iconfont" w:cs="iconfont"/>
      <w:color w:val="CCCCCC"/>
    </w:rPr>
  </w:style>
  <w:style w:type="character" w:customStyle="1" w:styleId="41">
    <w:name w:val="before1"/>
    <w:basedOn w:val="24"/>
    <w:qFormat/>
    <w:uiPriority w:val="0"/>
    <w:rPr>
      <w:shd w:val="clear" w:color="auto" w:fill="39548B"/>
    </w:rPr>
  </w:style>
  <w:style w:type="character" w:customStyle="1" w:styleId="42">
    <w:name w:val="on"/>
    <w:basedOn w:val="24"/>
    <w:qFormat/>
    <w:uiPriority w:val="0"/>
  </w:style>
  <w:style w:type="paragraph" w:customStyle="1" w:styleId="43">
    <w:name w:val="p0"/>
    <w:basedOn w:val="1"/>
    <w:qFormat/>
    <w:uiPriority w:val="0"/>
    <w:pPr>
      <w:widowControl/>
    </w:pPr>
    <w:rPr>
      <w:szCs w:val="21"/>
    </w:rPr>
  </w:style>
  <w:style w:type="paragraph" w:customStyle="1" w:styleId="44">
    <w:name w:val="样式1"/>
    <w:basedOn w:val="45"/>
    <w:qFormat/>
    <w:uiPriority w:val="0"/>
    <w:pPr>
      <w:widowControl/>
      <w:spacing w:before="80" w:after="80" w:line="540" w:lineRule="exact"/>
      <w:ind w:left="-2"/>
    </w:pPr>
    <w:rPr>
      <w:rFonts w:ascii="Arial" w:hAnsi="Arial"/>
      <w:bCs/>
      <w:kern w:val="0"/>
      <w:szCs w:val="48"/>
    </w:rPr>
  </w:style>
  <w:style w:type="paragraph" w:customStyle="1" w:styleId="45">
    <w:name w:val="a-文本缩2"/>
    <w:qFormat/>
    <w:uiPriority w:val="0"/>
    <w:pPr>
      <w:widowControl w:val="0"/>
      <w:adjustRightInd w:val="0"/>
      <w:snapToGrid w:val="0"/>
      <w:spacing w:line="360" w:lineRule="auto"/>
      <w:ind w:firstLine="480" w:firstLineChars="200"/>
      <w:jc w:val="both"/>
    </w:pPr>
    <w:rPr>
      <w:rFonts w:ascii="Times New Roman" w:hAnsi="Times New Roman" w:eastAsia="宋体" w:cs="Times New Roman"/>
      <w:kern w:val="2"/>
      <w:sz w:val="24"/>
      <w:szCs w:val="21"/>
      <w:lang w:val="en-US" w:eastAsia="zh-CN" w:bidi="ar-SA"/>
    </w:rPr>
  </w:style>
  <w:style w:type="paragraph" w:customStyle="1" w:styleId="46">
    <w:name w:val="【正文】"/>
    <w:basedOn w:val="1"/>
    <w:next w:val="1"/>
    <w:qFormat/>
    <w:uiPriority w:val="0"/>
    <w:pPr>
      <w:spacing w:line="360" w:lineRule="auto"/>
      <w:ind w:firstLine="200" w:firstLineChars="200"/>
    </w:pPr>
    <w:rPr>
      <w:spacing w:val="17"/>
      <w:sz w:val="24"/>
      <w:szCs w:val="20"/>
      <w:lang w:val="zh-CN"/>
    </w:rPr>
  </w:style>
  <w:style w:type="character" w:customStyle="1" w:styleId="47">
    <w:name w:val="fontstyle01"/>
    <w:basedOn w:val="24"/>
    <w:qFormat/>
    <w:uiPriority w:val="0"/>
    <w:rPr>
      <w:rFonts w:hint="eastAsia" w:ascii="宋体" w:hAnsi="宋体" w:eastAsia="宋体"/>
      <w:color w:val="000000"/>
      <w:sz w:val="24"/>
      <w:szCs w:val="24"/>
    </w:rPr>
  </w:style>
  <w:style w:type="paragraph" w:customStyle="1" w:styleId="48">
    <w:name w:val="报告表正文"/>
    <w:basedOn w:val="1"/>
    <w:qFormat/>
    <w:uiPriority w:val="0"/>
    <w:pPr>
      <w:adjustRightInd w:val="0"/>
      <w:spacing w:line="312" w:lineRule="auto"/>
      <w:ind w:left="113" w:right="113" w:firstLine="482"/>
      <w:jc w:val="left"/>
      <w:textAlignment w:val="baseline"/>
    </w:pPr>
    <w:rPr>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2233</Words>
  <Characters>2451</Characters>
  <Lines>18</Lines>
  <Paragraphs>5</Paragraphs>
  <TotalTime>184</TotalTime>
  <ScaleCrop>false</ScaleCrop>
  <LinksUpToDate>false</LinksUpToDate>
  <CharactersWithSpaces>2453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2022-08-13T07:15:00Z</dcterms:created>
  <dc:creator>海霞</dc:creator>
  <cp:lastModifiedBy>李冬月</cp:lastModifiedBy>
  <cp:lastPrinted>2025-07-07T07:59:00Z</cp:lastPrinted>
  <dcterms:modified xsi:type="dcterms:W3CDTF">2025-09-11T08:16:43Z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14F6070E2EB8419B9F62CB0881DEE738</vt:lpwstr>
  </property>
  <property fmtid="{D5CDD505-2E9C-101B-9397-08002B2CF9AE}" pid="4" name="KSOTemplateDocerSaveRecord">
    <vt:lpwstr>eyJoZGlkIjoiMmMzNDE0OTVmNTQ5MTBiMDg3MzEyOTRjOGExYjViNjAiLCJ1c2VySWQiOiIzNDA2OTIyOTkifQ==</vt:lpwstr>
  </property>
</Properties>
</file>