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65A" w:rsidRDefault="00A97274">
      <w:pPr>
        <w:spacing w:line="620" w:lineRule="exact"/>
        <w:jc w:val="center"/>
        <w:rPr>
          <w:rFonts w:asciiTheme="majorEastAsia" w:eastAsiaTheme="majorEastAsia" w:hAnsiTheme="majorEastAsia"/>
          <w:b/>
          <w:bCs/>
          <w:color w:val="000000"/>
          <w:sz w:val="44"/>
          <w:szCs w:val="44"/>
        </w:rPr>
      </w:pPr>
      <w:r>
        <w:rPr>
          <w:rFonts w:asciiTheme="majorEastAsia" w:eastAsiaTheme="majorEastAsia" w:hAnsiTheme="majorEastAsia" w:hint="eastAsia"/>
          <w:b/>
          <w:bCs/>
          <w:color w:val="000000"/>
          <w:sz w:val="44"/>
          <w:szCs w:val="44"/>
        </w:rPr>
        <w:t>关于202</w:t>
      </w:r>
      <w:r w:rsidR="00591E6E">
        <w:rPr>
          <w:rFonts w:asciiTheme="majorEastAsia" w:eastAsiaTheme="majorEastAsia" w:hAnsiTheme="majorEastAsia"/>
          <w:b/>
          <w:bCs/>
          <w:color w:val="000000"/>
          <w:sz w:val="44"/>
          <w:szCs w:val="44"/>
        </w:rPr>
        <w:t>2</w:t>
      </w:r>
      <w:r>
        <w:rPr>
          <w:rFonts w:asciiTheme="majorEastAsia" w:eastAsiaTheme="majorEastAsia" w:hAnsiTheme="majorEastAsia" w:hint="eastAsia"/>
          <w:b/>
          <w:bCs/>
          <w:color w:val="000000"/>
          <w:sz w:val="44"/>
          <w:szCs w:val="44"/>
        </w:rPr>
        <w:t>年度</w:t>
      </w:r>
      <w:r w:rsidR="00C32D50">
        <w:rPr>
          <w:rFonts w:asciiTheme="majorEastAsia" w:eastAsiaTheme="majorEastAsia" w:hAnsiTheme="majorEastAsia" w:hint="eastAsia"/>
          <w:b/>
          <w:bCs/>
          <w:color w:val="000000"/>
          <w:sz w:val="44"/>
          <w:szCs w:val="44"/>
        </w:rPr>
        <w:t>本溪高新区</w:t>
      </w:r>
    </w:p>
    <w:p w:rsidR="00B7065A" w:rsidRDefault="00A97274">
      <w:pPr>
        <w:spacing w:line="620" w:lineRule="exact"/>
        <w:jc w:val="center"/>
        <w:rPr>
          <w:rFonts w:asciiTheme="majorEastAsia" w:eastAsiaTheme="majorEastAsia" w:hAnsiTheme="majorEastAsia"/>
          <w:b/>
          <w:bCs/>
          <w:color w:val="000000"/>
          <w:sz w:val="44"/>
          <w:szCs w:val="44"/>
        </w:rPr>
      </w:pPr>
      <w:r>
        <w:rPr>
          <w:rFonts w:asciiTheme="majorEastAsia" w:eastAsiaTheme="majorEastAsia" w:hAnsiTheme="majorEastAsia"/>
          <w:b/>
          <w:bCs/>
          <w:color w:val="000000"/>
          <w:sz w:val="44"/>
          <w:szCs w:val="44"/>
        </w:rPr>
        <w:t>政府性基金预算</w:t>
      </w:r>
      <w:r w:rsidR="00C32D50">
        <w:rPr>
          <w:rFonts w:asciiTheme="majorEastAsia" w:eastAsiaTheme="majorEastAsia" w:hAnsiTheme="majorEastAsia" w:hint="eastAsia"/>
          <w:b/>
          <w:bCs/>
          <w:color w:val="000000"/>
          <w:sz w:val="44"/>
          <w:szCs w:val="44"/>
        </w:rPr>
        <w:t>本级</w:t>
      </w:r>
      <w:r>
        <w:rPr>
          <w:rFonts w:asciiTheme="majorEastAsia" w:eastAsiaTheme="majorEastAsia" w:hAnsiTheme="majorEastAsia"/>
          <w:b/>
          <w:bCs/>
          <w:color w:val="000000"/>
          <w:sz w:val="44"/>
          <w:szCs w:val="44"/>
        </w:rPr>
        <w:t>收支</w:t>
      </w:r>
      <w:r>
        <w:rPr>
          <w:rFonts w:asciiTheme="majorEastAsia" w:eastAsiaTheme="majorEastAsia" w:hAnsiTheme="majorEastAsia" w:hint="eastAsia"/>
          <w:b/>
          <w:bCs/>
          <w:color w:val="000000"/>
          <w:sz w:val="44"/>
          <w:szCs w:val="44"/>
        </w:rPr>
        <w:t>决算的说明</w:t>
      </w:r>
    </w:p>
    <w:p w:rsidR="00B7065A" w:rsidRDefault="00B7065A">
      <w:pPr>
        <w:spacing w:line="620" w:lineRule="exact"/>
        <w:jc w:val="center"/>
        <w:rPr>
          <w:rFonts w:asciiTheme="majorEastAsia" w:eastAsiaTheme="majorEastAsia" w:hAnsiTheme="majorEastAsia"/>
          <w:b/>
          <w:bCs/>
          <w:color w:val="000000"/>
          <w:sz w:val="44"/>
          <w:szCs w:val="44"/>
        </w:rPr>
      </w:pPr>
    </w:p>
    <w:p w:rsidR="00257947" w:rsidRDefault="00C32D50" w:rsidP="00C32D50">
      <w:pPr>
        <w:ind w:firstLine="615"/>
        <w:rPr>
          <w:rFonts w:ascii="仿宋" w:eastAsia="仿宋" w:hAnsi="仿宋"/>
          <w:color w:val="000000"/>
        </w:rPr>
      </w:pPr>
      <w:r>
        <w:rPr>
          <w:rFonts w:ascii="仿宋" w:eastAsia="仿宋" w:hAnsi="仿宋" w:hint="eastAsia"/>
          <w:color w:val="000000"/>
        </w:rPr>
        <w:t>202</w:t>
      </w:r>
      <w:r w:rsidR="00591E6E">
        <w:rPr>
          <w:rFonts w:ascii="仿宋" w:eastAsia="仿宋" w:hAnsi="仿宋"/>
          <w:color w:val="000000"/>
        </w:rPr>
        <w:t>2</w:t>
      </w:r>
      <w:r>
        <w:rPr>
          <w:rFonts w:ascii="仿宋" w:eastAsia="仿宋" w:hAnsi="仿宋" w:hint="eastAsia"/>
          <w:color w:val="000000"/>
        </w:rPr>
        <w:t>年</w:t>
      </w:r>
      <w:r>
        <w:rPr>
          <w:rFonts w:ascii="仿宋" w:eastAsia="仿宋" w:hAnsi="仿宋"/>
          <w:color w:val="000000"/>
        </w:rPr>
        <w:t>，</w:t>
      </w:r>
      <w:r>
        <w:rPr>
          <w:rFonts w:ascii="仿宋" w:eastAsia="仿宋" w:hAnsi="仿宋" w:hint="eastAsia"/>
          <w:color w:val="000000"/>
        </w:rPr>
        <w:t>全区</w:t>
      </w:r>
      <w:r>
        <w:rPr>
          <w:rFonts w:ascii="仿宋" w:eastAsia="仿宋" w:hAnsi="仿宋"/>
          <w:color w:val="000000"/>
        </w:rPr>
        <w:t>政府性基金收入完成</w:t>
      </w:r>
      <w:r w:rsidR="00591E6E">
        <w:rPr>
          <w:rFonts w:ascii="仿宋" w:eastAsia="仿宋" w:hAnsi="仿宋"/>
          <w:color w:val="000000"/>
        </w:rPr>
        <w:t>1.0</w:t>
      </w:r>
      <w:r>
        <w:rPr>
          <w:rFonts w:ascii="仿宋" w:eastAsia="仿宋" w:hAnsi="仿宋"/>
          <w:color w:val="000000"/>
        </w:rPr>
        <w:t>亿元，</w:t>
      </w:r>
      <w:r>
        <w:rPr>
          <w:rFonts w:ascii="仿宋" w:eastAsia="仿宋" w:hAnsi="仿宋" w:hint="eastAsia"/>
          <w:color w:val="000000"/>
        </w:rPr>
        <w:t>全市</w:t>
      </w:r>
      <w:r>
        <w:rPr>
          <w:rFonts w:ascii="仿宋" w:eastAsia="仿宋" w:hAnsi="仿宋"/>
          <w:color w:val="000000"/>
        </w:rPr>
        <w:t>政府性基金支出完成</w:t>
      </w:r>
      <w:r w:rsidR="00591E6E">
        <w:rPr>
          <w:rFonts w:ascii="仿宋" w:eastAsia="仿宋" w:hAnsi="仿宋"/>
          <w:color w:val="000000"/>
        </w:rPr>
        <w:t>4.1</w:t>
      </w:r>
      <w:r>
        <w:rPr>
          <w:rFonts w:ascii="仿宋" w:eastAsia="仿宋" w:hAnsi="仿宋"/>
          <w:color w:val="000000"/>
        </w:rPr>
        <w:t>亿元。</w:t>
      </w:r>
    </w:p>
    <w:p w:rsidR="00C32D50" w:rsidRDefault="00C32D50">
      <w:pPr>
        <w:ind w:firstLineChars="200" w:firstLine="640"/>
        <w:rPr>
          <w:rFonts w:ascii="仿宋" w:eastAsia="仿宋" w:hAnsi="仿宋"/>
          <w:color w:val="000000"/>
        </w:rPr>
      </w:pPr>
      <w:r>
        <w:rPr>
          <w:rFonts w:ascii="仿宋" w:eastAsia="仿宋" w:hAnsi="仿宋" w:hint="eastAsia"/>
          <w:color w:val="000000"/>
        </w:rPr>
        <w:t>全区</w:t>
      </w:r>
      <w:r>
        <w:rPr>
          <w:rFonts w:ascii="仿宋" w:eastAsia="仿宋" w:hAnsi="仿宋"/>
          <w:color w:val="000000"/>
        </w:rPr>
        <w:t>政府性基金收入</w:t>
      </w:r>
      <w:r w:rsidR="00591E6E">
        <w:rPr>
          <w:rFonts w:ascii="仿宋" w:eastAsia="仿宋" w:hAnsi="仿宋"/>
          <w:color w:val="000000"/>
        </w:rPr>
        <w:t>1.0</w:t>
      </w:r>
      <w:r>
        <w:rPr>
          <w:rFonts w:ascii="仿宋" w:eastAsia="仿宋" w:hAnsi="仿宋"/>
          <w:color w:val="000000"/>
        </w:rPr>
        <w:t>亿元，加上上级补助0亿元、专项债券转贷收入</w:t>
      </w:r>
      <w:r w:rsidR="00591E6E">
        <w:rPr>
          <w:rFonts w:ascii="仿宋" w:eastAsia="仿宋" w:hAnsi="仿宋"/>
          <w:color w:val="000000"/>
        </w:rPr>
        <w:t>4.9</w:t>
      </w:r>
      <w:r>
        <w:rPr>
          <w:rFonts w:ascii="仿宋" w:eastAsia="仿宋" w:hAnsi="仿宋"/>
          <w:color w:val="000000"/>
        </w:rPr>
        <w:t>亿元，</w:t>
      </w:r>
      <w:r w:rsidR="00591E6E">
        <w:rPr>
          <w:rFonts w:ascii="仿宋" w:eastAsia="仿宋" w:hAnsi="仿宋" w:hint="eastAsia"/>
          <w:color w:val="000000"/>
        </w:rPr>
        <w:t>上年结余</w:t>
      </w:r>
      <w:r w:rsidR="00591E6E">
        <w:rPr>
          <w:rFonts w:ascii="仿宋" w:eastAsia="仿宋" w:hAnsi="仿宋"/>
          <w:color w:val="000000"/>
        </w:rPr>
        <w:t>收入</w:t>
      </w:r>
      <w:r w:rsidR="00591E6E">
        <w:rPr>
          <w:rFonts w:ascii="仿宋" w:eastAsia="仿宋" w:hAnsi="仿宋" w:hint="eastAsia"/>
          <w:color w:val="000000"/>
        </w:rPr>
        <w:t>0.1亿元</w:t>
      </w:r>
      <w:r w:rsidR="00591E6E">
        <w:rPr>
          <w:rFonts w:ascii="仿宋" w:eastAsia="仿宋" w:hAnsi="仿宋"/>
          <w:color w:val="000000"/>
        </w:rPr>
        <w:t>，</w:t>
      </w:r>
      <w:r>
        <w:rPr>
          <w:rFonts w:ascii="仿宋" w:eastAsia="仿宋" w:hAnsi="仿宋" w:hint="eastAsia"/>
          <w:color w:val="000000"/>
        </w:rPr>
        <w:t>调入资金0.</w:t>
      </w:r>
      <w:r w:rsidR="00591E6E">
        <w:rPr>
          <w:rFonts w:ascii="仿宋" w:eastAsia="仿宋" w:hAnsi="仿宋"/>
          <w:color w:val="000000"/>
        </w:rPr>
        <w:t>4</w:t>
      </w:r>
      <w:r>
        <w:rPr>
          <w:rFonts w:ascii="仿宋" w:eastAsia="仿宋" w:hAnsi="仿宋" w:hint="eastAsia"/>
          <w:color w:val="000000"/>
        </w:rPr>
        <w:t>亿元</w:t>
      </w:r>
      <w:r>
        <w:rPr>
          <w:rFonts w:ascii="仿宋" w:eastAsia="仿宋" w:hAnsi="仿宋"/>
          <w:color w:val="000000"/>
        </w:rPr>
        <w:t>，收入总计为</w:t>
      </w:r>
      <w:r w:rsidR="00591E6E">
        <w:rPr>
          <w:rFonts w:ascii="仿宋" w:eastAsia="仿宋" w:hAnsi="仿宋"/>
          <w:color w:val="000000"/>
        </w:rPr>
        <w:t>6.4</w:t>
      </w:r>
      <w:r>
        <w:rPr>
          <w:rFonts w:ascii="仿宋" w:eastAsia="仿宋" w:hAnsi="仿宋"/>
          <w:color w:val="000000"/>
        </w:rPr>
        <w:t>亿元；政府性基金支出</w:t>
      </w:r>
      <w:r w:rsidR="00591E6E">
        <w:rPr>
          <w:rFonts w:ascii="仿宋" w:eastAsia="仿宋" w:hAnsi="仿宋"/>
          <w:color w:val="000000"/>
        </w:rPr>
        <w:t>4.1</w:t>
      </w:r>
      <w:r>
        <w:rPr>
          <w:rFonts w:ascii="仿宋" w:eastAsia="仿宋" w:hAnsi="仿宋"/>
          <w:color w:val="000000"/>
        </w:rPr>
        <w:t>亿元，专项债券还本支出</w:t>
      </w:r>
      <w:r w:rsidR="00591E6E">
        <w:rPr>
          <w:rFonts w:ascii="仿宋" w:eastAsia="仿宋" w:hAnsi="仿宋"/>
          <w:color w:val="000000"/>
        </w:rPr>
        <w:t>2.1</w:t>
      </w:r>
      <w:r>
        <w:rPr>
          <w:rFonts w:ascii="仿宋" w:eastAsia="仿宋" w:hAnsi="仿宋"/>
          <w:color w:val="000000"/>
        </w:rPr>
        <w:t>亿元</w:t>
      </w:r>
      <w:r>
        <w:rPr>
          <w:rFonts w:ascii="仿宋" w:eastAsia="仿宋" w:hAnsi="仿宋" w:hint="eastAsia"/>
          <w:color w:val="000000"/>
        </w:rPr>
        <w:t>、</w:t>
      </w:r>
      <w:r w:rsidR="00591E6E">
        <w:rPr>
          <w:rFonts w:ascii="仿宋" w:eastAsia="仿宋" w:hAnsi="仿宋" w:hint="eastAsia"/>
          <w:color w:val="000000"/>
        </w:rPr>
        <w:t>调出资金</w:t>
      </w:r>
      <w:r>
        <w:rPr>
          <w:rFonts w:ascii="仿宋" w:eastAsia="仿宋" w:hAnsi="仿宋"/>
          <w:color w:val="000000"/>
        </w:rPr>
        <w:t>等</w:t>
      </w:r>
      <w:r>
        <w:rPr>
          <w:rFonts w:ascii="仿宋" w:eastAsia="仿宋" w:hAnsi="仿宋" w:hint="eastAsia"/>
          <w:color w:val="000000"/>
        </w:rPr>
        <w:t>0.</w:t>
      </w:r>
      <w:r w:rsidR="00591E6E">
        <w:rPr>
          <w:rFonts w:ascii="仿宋" w:eastAsia="仿宋" w:hAnsi="仿宋"/>
          <w:color w:val="000000"/>
        </w:rPr>
        <w:t>2</w:t>
      </w:r>
      <w:r>
        <w:rPr>
          <w:rFonts w:ascii="仿宋" w:eastAsia="仿宋" w:hAnsi="仿宋"/>
          <w:color w:val="000000"/>
        </w:rPr>
        <w:t>亿元，支出总计为</w:t>
      </w:r>
      <w:r w:rsidR="00591E6E">
        <w:rPr>
          <w:rFonts w:ascii="仿宋" w:eastAsia="仿宋" w:hAnsi="仿宋"/>
          <w:color w:val="000000"/>
        </w:rPr>
        <w:t>6.4</w:t>
      </w:r>
      <w:r>
        <w:rPr>
          <w:rFonts w:ascii="仿宋" w:eastAsia="仿宋" w:hAnsi="仿宋"/>
          <w:color w:val="000000"/>
        </w:rPr>
        <w:t>亿元。</w:t>
      </w:r>
    </w:p>
    <w:p w:rsidR="00B7065A" w:rsidRDefault="00A97274">
      <w:pPr>
        <w:ind w:firstLineChars="200" w:firstLine="640"/>
        <w:rPr>
          <w:rFonts w:eastAsia="仿宋_GB2312"/>
          <w:color w:val="000000"/>
        </w:rPr>
      </w:pPr>
      <w:r>
        <w:rPr>
          <w:rFonts w:eastAsia="仿宋_GB2312"/>
        </w:rPr>
        <w:t>2</w:t>
      </w:r>
      <w:r w:rsidR="00C32D50">
        <w:rPr>
          <w:rFonts w:eastAsia="仿宋_GB2312"/>
          <w:color w:val="000000"/>
        </w:rPr>
        <w:t>02</w:t>
      </w:r>
      <w:r w:rsidR="00591E6E">
        <w:rPr>
          <w:rFonts w:eastAsia="仿宋_GB2312"/>
          <w:color w:val="000000"/>
        </w:rPr>
        <w:t>2</w:t>
      </w:r>
      <w:r>
        <w:rPr>
          <w:rFonts w:eastAsia="仿宋_GB2312"/>
          <w:color w:val="000000"/>
        </w:rPr>
        <w:t>年收支相抵，实现</w:t>
      </w:r>
      <w:bookmarkStart w:id="0" w:name="_GoBack"/>
      <w:bookmarkEnd w:id="0"/>
      <w:r>
        <w:rPr>
          <w:rFonts w:eastAsia="仿宋_GB2312"/>
          <w:color w:val="000000"/>
        </w:rPr>
        <w:t>收支平衡。</w:t>
      </w:r>
    </w:p>
    <w:sectPr w:rsidR="00B7065A" w:rsidSect="00B706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7274" w:rsidRDefault="00A97274" w:rsidP="00257947">
      <w:r>
        <w:separator/>
      </w:r>
    </w:p>
  </w:endnote>
  <w:endnote w:type="continuationSeparator" w:id="0">
    <w:p w:rsidR="00A97274" w:rsidRDefault="00A97274" w:rsidP="00257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00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7274" w:rsidRDefault="00A97274" w:rsidP="00257947">
      <w:r>
        <w:separator/>
      </w:r>
    </w:p>
  </w:footnote>
  <w:footnote w:type="continuationSeparator" w:id="0">
    <w:p w:rsidR="00A97274" w:rsidRDefault="00A97274" w:rsidP="002579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A0242"/>
    <w:rsid w:val="00174864"/>
    <w:rsid w:val="00257947"/>
    <w:rsid w:val="00591E6E"/>
    <w:rsid w:val="006006FF"/>
    <w:rsid w:val="00776CA5"/>
    <w:rsid w:val="00A95DF7"/>
    <w:rsid w:val="00A97274"/>
    <w:rsid w:val="00B7065A"/>
    <w:rsid w:val="00BA0242"/>
    <w:rsid w:val="00C32D50"/>
    <w:rsid w:val="11DE7CBA"/>
    <w:rsid w:val="1B764B92"/>
    <w:rsid w:val="788D1B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351AD3A2-295F-49CA-BCDA-882DF2160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B7065A"/>
    <w:pPr>
      <w:widowControl w:val="0"/>
      <w:jc w:val="both"/>
    </w:pPr>
    <w:rPr>
      <w:rFonts w:ascii="Times New Roman" w:eastAsia="宋体" w:hAnsi="Times New Roman" w:cs="Times New Roman"/>
      <w:kern w:val="2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header"/>
    <w:basedOn w:val="a"/>
    <w:next w:val="a"/>
    <w:uiPriority w:val="99"/>
    <w:unhideWhenUsed/>
    <w:qFormat/>
    <w:rsid w:val="00B706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Balloon Text"/>
    <w:basedOn w:val="a"/>
    <w:link w:val="Char"/>
    <w:uiPriority w:val="99"/>
    <w:unhideWhenUsed/>
    <w:qFormat/>
    <w:rsid w:val="00B7065A"/>
    <w:rPr>
      <w:sz w:val="18"/>
      <w:szCs w:val="18"/>
    </w:rPr>
  </w:style>
  <w:style w:type="paragraph" w:customStyle="1" w:styleId="Char1">
    <w:name w:val="Char1"/>
    <w:basedOn w:val="a"/>
    <w:qFormat/>
    <w:rsid w:val="00B7065A"/>
  </w:style>
  <w:style w:type="character" w:customStyle="1" w:styleId="Char">
    <w:name w:val="批注框文本 Char"/>
    <w:basedOn w:val="a1"/>
    <w:link w:val="a4"/>
    <w:uiPriority w:val="99"/>
    <w:semiHidden/>
    <w:qFormat/>
    <w:rsid w:val="00B7065A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2579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semiHidden/>
    <w:rsid w:val="00257947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528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4E6C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31</Words>
  <Characters>182</Characters>
  <Application>Microsoft Office Word</Application>
  <DocSecurity>0</DocSecurity>
  <Lines>1</Lines>
  <Paragraphs>1</Paragraphs>
  <ScaleCrop>false</ScaleCrop>
  <Company>Microsoft</Company>
  <LinksUpToDate>false</LinksUpToDate>
  <CharactersWithSpaces>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5</cp:revision>
  <dcterms:created xsi:type="dcterms:W3CDTF">2019-08-12T06:11:00Z</dcterms:created>
  <dcterms:modified xsi:type="dcterms:W3CDTF">2023-09-11T03:12:00Z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2052-10.8.0.6108</vt:lpwstr>
  </property>
</Properties>
</file>