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21" w:rsidRPr="009F0121" w:rsidRDefault="009F0121" w:rsidP="009F0121">
      <w:pPr>
        <w:widowControl/>
        <w:spacing w:line="540" w:lineRule="atLeast"/>
        <w:jc w:val="center"/>
        <w:rPr>
          <w:rFonts w:ascii="微软雅黑" w:eastAsia="微软雅黑" w:hAnsi="微软雅黑" w:cs="宋体"/>
          <w:b/>
          <w:bCs/>
          <w:color w:val="333333"/>
          <w:kern w:val="0"/>
          <w:sz w:val="36"/>
          <w:szCs w:val="36"/>
        </w:rPr>
      </w:pPr>
      <w:r w:rsidRPr="009F0121">
        <w:rPr>
          <w:rFonts w:ascii="微软雅黑" w:eastAsia="微软雅黑" w:hAnsi="微软雅黑" w:cs="宋体" w:hint="eastAsia"/>
          <w:b/>
          <w:bCs/>
          <w:color w:val="333333"/>
          <w:kern w:val="0"/>
          <w:sz w:val="36"/>
          <w:szCs w:val="36"/>
        </w:rPr>
        <w:t>财政部 国家税务总局关于铁路运输企业汇总缴纳增值税的通知</w:t>
      </w:r>
    </w:p>
    <w:p w:rsidR="009F0121" w:rsidRPr="009F0121" w:rsidRDefault="009F0121" w:rsidP="009F0121">
      <w:pPr>
        <w:widowControl/>
        <w:jc w:val="center"/>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财税〔2020〕56号</w:t>
      </w:r>
    </w:p>
    <w:p w:rsidR="009F0121" w:rsidRPr="009F0121" w:rsidRDefault="009F0121" w:rsidP="009F0121">
      <w:pPr>
        <w:widowControl/>
        <w:spacing w:line="675" w:lineRule="atLeast"/>
        <w:jc w:val="center"/>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字号：[</w:t>
      </w:r>
      <w:hyperlink r:id="rId4" w:history="1">
        <w:r w:rsidRPr="009F0121">
          <w:rPr>
            <w:rFonts w:ascii="微软雅黑" w:eastAsia="微软雅黑" w:hAnsi="微软雅黑" w:cs="宋体" w:hint="eastAsia"/>
            <w:color w:val="1A56A8"/>
            <w:kern w:val="0"/>
            <w:sz w:val="24"/>
            <w:szCs w:val="24"/>
          </w:rPr>
          <w:t xml:space="preserve"> 大 </w:t>
        </w:r>
      </w:hyperlink>
      <w:r w:rsidRPr="009F0121">
        <w:rPr>
          <w:rFonts w:ascii="微软雅黑" w:eastAsia="微软雅黑" w:hAnsi="微软雅黑" w:cs="宋体" w:hint="eastAsia"/>
          <w:color w:val="333333"/>
          <w:kern w:val="0"/>
          <w:sz w:val="24"/>
          <w:szCs w:val="24"/>
        </w:rPr>
        <w:t>] [</w:t>
      </w:r>
      <w:hyperlink r:id="rId5" w:history="1">
        <w:r w:rsidRPr="009F0121">
          <w:rPr>
            <w:rFonts w:ascii="微软雅黑" w:eastAsia="微软雅黑" w:hAnsi="微软雅黑" w:cs="宋体" w:hint="eastAsia"/>
            <w:color w:val="1A56A8"/>
            <w:kern w:val="0"/>
            <w:sz w:val="24"/>
            <w:szCs w:val="24"/>
          </w:rPr>
          <w:t xml:space="preserve"> 中 </w:t>
        </w:r>
      </w:hyperlink>
      <w:r w:rsidRPr="009F0121">
        <w:rPr>
          <w:rFonts w:ascii="微软雅黑" w:eastAsia="微软雅黑" w:hAnsi="微软雅黑" w:cs="宋体" w:hint="eastAsia"/>
          <w:color w:val="333333"/>
          <w:kern w:val="0"/>
          <w:sz w:val="24"/>
          <w:szCs w:val="24"/>
        </w:rPr>
        <w:t>] [</w:t>
      </w:r>
      <w:hyperlink r:id="rId6" w:history="1">
        <w:r w:rsidRPr="009F0121">
          <w:rPr>
            <w:rFonts w:ascii="微软雅黑" w:eastAsia="微软雅黑" w:hAnsi="微软雅黑" w:cs="宋体" w:hint="eastAsia"/>
            <w:color w:val="1A56A8"/>
            <w:kern w:val="0"/>
            <w:sz w:val="24"/>
            <w:szCs w:val="24"/>
          </w:rPr>
          <w:t xml:space="preserve"> 小 </w:t>
        </w:r>
      </w:hyperlink>
      <w:r w:rsidRPr="009F0121">
        <w:rPr>
          <w:rFonts w:ascii="微软雅黑" w:eastAsia="微软雅黑" w:hAnsi="微软雅黑" w:cs="宋体" w:hint="eastAsia"/>
          <w:color w:val="333333"/>
          <w:kern w:val="0"/>
          <w:sz w:val="24"/>
          <w:szCs w:val="24"/>
        </w:rPr>
        <w:t xml:space="preserve">] </w:t>
      </w:r>
    </w:p>
    <w:p w:rsidR="009F0121" w:rsidRPr="009F0121" w:rsidRDefault="009F0121" w:rsidP="009F0121">
      <w:pPr>
        <w:widowControl/>
        <w:spacing w:line="675" w:lineRule="atLeast"/>
        <w:jc w:val="center"/>
        <w:rPr>
          <w:rFonts w:ascii="微软雅黑" w:eastAsia="微软雅黑" w:hAnsi="微软雅黑" w:cs="宋体" w:hint="eastAsia"/>
          <w:color w:val="999999"/>
          <w:kern w:val="0"/>
          <w:szCs w:val="21"/>
        </w:rPr>
      </w:pPr>
      <w:r w:rsidRPr="009F0121">
        <w:rPr>
          <w:rFonts w:ascii="微软雅黑" w:eastAsia="微软雅黑" w:hAnsi="微软雅黑" w:cs="宋体" w:hint="eastAsia"/>
          <w:color w:val="333333"/>
          <w:kern w:val="0"/>
          <w:sz w:val="24"/>
          <w:szCs w:val="24"/>
        </w:rPr>
        <w:pict/>
      </w:r>
      <w:r w:rsidRPr="009F0121">
        <w:rPr>
          <w:rFonts w:ascii="微软雅黑" w:eastAsia="微软雅黑" w:hAnsi="微软雅黑" w:cs="宋体" w:hint="eastAsia"/>
          <w:color w:val="333333"/>
          <w:kern w:val="0"/>
          <w:sz w:val="24"/>
          <w:szCs w:val="24"/>
        </w:rPr>
        <w:pict/>
      </w:r>
      <w:hyperlink r:id="rId7" w:history="1">
        <w:r w:rsidRPr="009F0121">
          <w:rPr>
            <w:rFonts w:ascii="微软雅黑" w:eastAsia="微软雅黑" w:hAnsi="微软雅黑" w:cs="宋体" w:hint="eastAsia"/>
            <w:color w:val="333333"/>
            <w:kern w:val="0"/>
            <w:szCs w:val="21"/>
          </w:rPr>
          <w:t>打印本页</w:t>
        </w:r>
      </w:hyperlink>
      <w:r w:rsidRPr="009F0121">
        <w:rPr>
          <w:rFonts w:ascii="微软雅黑" w:eastAsia="微软雅黑" w:hAnsi="微软雅黑" w:cs="宋体" w:hint="eastAsia"/>
          <w:color w:val="999999"/>
          <w:kern w:val="0"/>
          <w:szCs w:val="21"/>
        </w:rPr>
        <w:t>正文下载</w:t>
      </w:r>
    </w:p>
    <w:p w:rsidR="009F0121" w:rsidRPr="009F0121" w:rsidRDefault="009F0121" w:rsidP="009F0121">
      <w:pPr>
        <w:widowControl/>
        <w:spacing w:line="675" w:lineRule="atLeast"/>
        <w:jc w:val="righ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FF0000"/>
          <w:kern w:val="0"/>
          <w:sz w:val="24"/>
          <w:szCs w:val="24"/>
        </w:rPr>
        <w:t>全文有效</w:t>
      </w:r>
    </w:p>
    <w:p w:rsidR="009F0121" w:rsidRPr="009F0121" w:rsidRDefault="009F0121" w:rsidP="009F0121">
      <w:pPr>
        <w:widowControl/>
        <w:spacing w:line="675" w:lineRule="atLeast"/>
        <w:jc w:val="right"/>
        <w:rPr>
          <w:rFonts w:ascii="微软雅黑" w:eastAsia="微软雅黑" w:hAnsi="微软雅黑" w:cs="宋体" w:hint="eastAsia"/>
          <w:vanish/>
          <w:color w:val="333333"/>
          <w:kern w:val="0"/>
          <w:sz w:val="24"/>
          <w:szCs w:val="24"/>
        </w:rPr>
      </w:pPr>
      <w:r w:rsidRPr="009F0121">
        <w:rPr>
          <w:rFonts w:ascii="微软雅黑" w:eastAsia="微软雅黑" w:hAnsi="微软雅黑" w:cs="宋体" w:hint="eastAsia"/>
          <w:vanish/>
          <w:color w:val="FF0000"/>
          <w:kern w:val="0"/>
          <w:sz w:val="24"/>
          <w:szCs w:val="24"/>
        </w:rPr>
        <w:t>全文有效</w:t>
      </w:r>
    </w:p>
    <w:p w:rsidR="009F0121" w:rsidRPr="009F0121" w:rsidRDefault="009F0121" w:rsidP="009F0121">
      <w:pPr>
        <w:widowControl/>
        <w:spacing w:before="100" w:beforeAutospacing="1" w:after="100" w:afterAutospacing="1"/>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各省、自治区、直辖市、计划单列市财政厅（局），国家税务总局各省、自治区、直辖市、计划单列市税务局：</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现将铁路运输企业汇总缴纳增值税事宜通知如下：</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一、自2014年1月1日起，中国国家铁路集团有限公司及其分支机构提供铁路运输服务以及与铁路运输相关的物流辅助服务，按照《总分机构试点纳税人增值税计算缴纳暂行办法》（财税〔2013〕74号，以下简称《暂行办法》）的规定计算缴纳增值税，具体时间以附件1和附件2列明的汇总纳税时间为准。</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附件3所列分支机构，自列明的取消汇总纳税时间起，不再按照《暂行办法》的规定汇总缴纳增值税。</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二、附件1所列分支机构的</w:t>
      </w:r>
      <w:proofErr w:type="gramStart"/>
      <w:r w:rsidRPr="009F0121">
        <w:rPr>
          <w:rFonts w:ascii="微软雅黑" w:eastAsia="微软雅黑" w:hAnsi="微软雅黑" w:cs="宋体" w:hint="eastAsia"/>
          <w:color w:val="333333"/>
          <w:kern w:val="0"/>
          <w:sz w:val="24"/>
          <w:szCs w:val="24"/>
        </w:rPr>
        <w:t>预征率</w:t>
      </w:r>
      <w:proofErr w:type="gramEnd"/>
      <w:r w:rsidRPr="009F0121">
        <w:rPr>
          <w:rFonts w:ascii="微软雅黑" w:eastAsia="微软雅黑" w:hAnsi="微软雅黑" w:cs="宋体" w:hint="eastAsia"/>
          <w:color w:val="333333"/>
          <w:kern w:val="0"/>
          <w:sz w:val="24"/>
          <w:szCs w:val="24"/>
        </w:rPr>
        <w:t>为1%。附件2所列的分支机构，实行由合资铁路运输企业总部汇总预缴增值税，具体办法如下：</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lastRenderedPageBreak/>
        <w:t>1.合资铁路运输企业总部本级及其下属站段（含委托运输管理的站段，下同）本级的销售额适用的</w:t>
      </w:r>
      <w:proofErr w:type="gramStart"/>
      <w:r w:rsidRPr="009F0121">
        <w:rPr>
          <w:rFonts w:ascii="微软雅黑" w:eastAsia="微软雅黑" w:hAnsi="微软雅黑" w:cs="宋体" w:hint="eastAsia"/>
          <w:color w:val="333333"/>
          <w:kern w:val="0"/>
          <w:sz w:val="24"/>
          <w:szCs w:val="24"/>
        </w:rPr>
        <w:t>预征率</w:t>
      </w:r>
      <w:proofErr w:type="gramEnd"/>
      <w:r w:rsidRPr="009F0121">
        <w:rPr>
          <w:rFonts w:ascii="微软雅黑" w:eastAsia="微软雅黑" w:hAnsi="微软雅黑" w:cs="宋体" w:hint="eastAsia"/>
          <w:color w:val="333333"/>
          <w:kern w:val="0"/>
          <w:sz w:val="24"/>
          <w:szCs w:val="24"/>
        </w:rPr>
        <w:t>为1%。</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本级应预缴的增值税=本级应征增值税销售额×1%</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2.合资铁路运输企业总部及其下属站段汇总的销售额适用的</w:t>
      </w:r>
      <w:proofErr w:type="gramStart"/>
      <w:r w:rsidRPr="009F0121">
        <w:rPr>
          <w:rFonts w:ascii="微软雅黑" w:eastAsia="微软雅黑" w:hAnsi="微软雅黑" w:cs="宋体" w:hint="eastAsia"/>
          <w:color w:val="333333"/>
          <w:kern w:val="0"/>
          <w:sz w:val="24"/>
          <w:szCs w:val="24"/>
        </w:rPr>
        <w:t>预征率</w:t>
      </w:r>
      <w:proofErr w:type="gramEnd"/>
      <w:r w:rsidRPr="009F0121">
        <w:rPr>
          <w:rFonts w:ascii="微软雅黑" w:eastAsia="微软雅黑" w:hAnsi="微软雅黑" w:cs="宋体" w:hint="eastAsia"/>
          <w:color w:val="333333"/>
          <w:kern w:val="0"/>
          <w:sz w:val="24"/>
          <w:szCs w:val="24"/>
        </w:rPr>
        <w:t>为3%。</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汇总应预缴的增值税=（总部本级应征增值税销售额+下属站段本级应征增值税销售额）×3%-（总部本级应预缴的增值税+下属站段本级应预缴的增值税）</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三、中国国家铁路集团有限公司及其分支机构不适用《暂行办法》第八条年度清算的规定。</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四、本通知自发布之日起执行，《财政部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国家税务总局关于部分航空运输企业总分机构增值税计算缴纳问题的通知》（财税〔2013〕86号）、《财政部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国家税务总局关于铁路运输企业汇总缴纳增值税的通知》（财税〔2013〕111号）、《财政部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国家税务总局关于铁路运输企业汇总缴纳增值税的补充通知》（财税〔2014〕54号）、《财政部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国家税务总局关于华夏航空有限公司及其分支机构增值税计算缴纳问题的通知》（财税〔2014〕76号）、《国家税务总局关于部分航空运输企业总分机构增值税计算缴纳问题的公告》（国家税务总局公告2014年第55号）、《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国家税务总局关于调整铁路和航空运输企业汇总缴纳增值税分支机构名单的通知》（财税〔2015〕87号）、《财政部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税务总局关于调整铁路和航空运输企业汇总缴纳增值税分支机构名单的通知》（财税〔2017〕67号）、《财政部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税务总局关于调整铁路和航空运</w:t>
      </w:r>
      <w:r w:rsidRPr="009F0121">
        <w:rPr>
          <w:rFonts w:ascii="微软雅黑" w:eastAsia="微软雅黑" w:hAnsi="微软雅黑" w:cs="宋体" w:hint="eastAsia"/>
          <w:color w:val="333333"/>
          <w:kern w:val="0"/>
          <w:sz w:val="24"/>
          <w:szCs w:val="24"/>
        </w:rPr>
        <w:lastRenderedPageBreak/>
        <w:t>输企业汇总缴纳增值税总分机构名单的通知》（财税〔2019〕1号）同时废止。</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附件：</w:t>
      </w: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1.</w:t>
      </w:r>
      <w:hyperlink r:id="rId8" w:history="1">
        <w:r w:rsidRPr="009F0121">
          <w:rPr>
            <w:rFonts w:ascii="微软雅黑" w:eastAsia="微软雅黑" w:hAnsi="微软雅黑" w:cs="宋体"/>
            <w:noProof/>
            <w:color w:val="333333"/>
            <w:kern w:val="0"/>
            <w:sz w:val="24"/>
            <w:szCs w:val="24"/>
          </w:rPr>
          <w:drawing>
            <wp:inline distT="0" distB="0" distL="0" distR="0" wp14:anchorId="12744A04" wp14:editId="6B708F2E">
              <wp:extent cx="152400" cy="152400"/>
              <wp:effectExtent l="0" t="0" r="0" b="0"/>
              <wp:docPr id="1" name="图片 1" descr="http://liaoning.chinatax.gov.cn/module/jslib/icons/exce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aoning.chinatax.gov.cn/module/jslib/icons/excel.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0121">
          <w:rPr>
            <w:rFonts w:ascii="微软雅黑" w:eastAsia="微软雅黑" w:hAnsi="微软雅黑" w:cs="宋体" w:hint="eastAsia"/>
            <w:color w:val="333333"/>
            <w:kern w:val="0"/>
            <w:sz w:val="24"/>
            <w:szCs w:val="24"/>
          </w:rPr>
          <w:t>国铁集团增值税汇总纳税分支机构名单（一）.</w:t>
        </w:r>
        <w:proofErr w:type="gramStart"/>
        <w:r w:rsidRPr="009F0121">
          <w:rPr>
            <w:rFonts w:ascii="微软雅黑" w:eastAsia="微软雅黑" w:hAnsi="微软雅黑" w:cs="宋体" w:hint="eastAsia"/>
            <w:color w:val="333333"/>
            <w:kern w:val="0"/>
            <w:sz w:val="24"/>
            <w:szCs w:val="24"/>
          </w:rPr>
          <w:t>xls</w:t>
        </w:r>
        <w:proofErr w:type="gramEnd"/>
      </w:hyperlink>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2.</w:t>
      </w:r>
      <w:hyperlink r:id="rId10" w:history="1">
        <w:r w:rsidRPr="009F0121">
          <w:rPr>
            <w:rFonts w:ascii="微软雅黑" w:eastAsia="微软雅黑" w:hAnsi="微软雅黑" w:cs="宋体"/>
            <w:noProof/>
            <w:color w:val="333333"/>
            <w:kern w:val="0"/>
            <w:sz w:val="24"/>
            <w:szCs w:val="24"/>
          </w:rPr>
          <w:drawing>
            <wp:inline distT="0" distB="0" distL="0" distR="0" wp14:anchorId="1248257E" wp14:editId="7E97DAA4">
              <wp:extent cx="152400" cy="152400"/>
              <wp:effectExtent l="0" t="0" r="0" b="0"/>
              <wp:docPr id="2" name="图片 2" descr="http://liaoning.chinatax.gov.cn/module/jslib/icons/excel.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aoning.chinatax.gov.cn/module/jslib/icons/excel.pn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0121">
          <w:rPr>
            <w:rFonts w:ascii="微软雅黑" w:eastAsia="微软雅黑" w:hAnsi="微软雅黑" w:cs="宋体" w:hint="eastAsia"/>
            <w:color w:val="333333"/>
            <w:kern w:val="0"/>
            <w:sz w:val="24"/>
            <w:szCs w:val="24"/>
          </w:rPr>
          <w:t>国铁集团增值税汇总纳税分支机构名单（二）.</w:t>
        </w:r>
        <w:proofErr w:type="gramStart"/>
        <w:r w:rsidRPr="009F0121">
          <w:rPr>
            <w:rFonts w:ascii="微软雅黑" w:eastAsia="微软雅黑" w:hAnsi="微软雅黑" w:cs="宋体" w:hint="eastAsia"/>
            <w:color w:val="333333"/>
            <w:kern w:val="0"/>
            <w:sz w:val="24"/>
            <w:szCs w:val="24"/>
          </w:rPr>
          <w:t>xls</w:t>
        </w:r>
        <w:proofErr w:type="gramEnd"/>
      </w:hyperlink>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3.</w:t>
      </w:r>
      <w:hyperlink r:id="rId11" w:history="1">
        <w:r w:rsidRPr="009F0121">
          <w:rPr>
            <w:rFonts w:ascii="微软雅黑" w:eastAsia="微软雅黑" w:hAnsi="微软雅黑" w:cs="宋体"/>
            <w:noProof/>
            <w:color w:val="333333"/>
            <w:kern w:val="0"/>
            <w:sz w:val="24"/>
            <w:szCs w:val="24"/>
          </w:rPr>
          <w:drawing>
            <wp:inline distT="0" distB="0" distL="0" distR="0" wp14:anchorId="74D3026D" wp14:editId="474CD08A">
              <wp:extent cx="152400" cy="152400"/>
              <wp:effectExtent l="0" t="0" r="0" b="0"/>
              <wp:docPr id="3" name="图片 3" descr="http://liaoning.chinatax.gov.cn/module/jslib/icons/exce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aoning.chinatax.gov.cn/module/jslib/icons/excel.png">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0121">
          <w:rPr>
            <w:rFonts w:ascii="微软雅黑" w:eastAsia="微软雅黑" w:hAnsi="微软雅黑" w:cs="宋体" w:hint="eastAsia"/>
            <w:color w:val="333333"/>
            <w:kern w:val="0"/>
            <w:sz w:val="24"/>
            <w:szCs w:val="24"/>
          </w:rPr>
          <w:t>国铁集团取消汇总纳税分支机构名单.</w:t>
        </w:r>
        <w:proofErr w:type="gramStart"/>
        <w:r w:rsidRPr="009F0121">
          <w:rPr>
            <w:rFonts w:ascii="微软雅黑" w:eastAsia="微软雅黑" w:hAnsi="微软雅黑" w:cs="宋体" w:hint="eastAsia"/>
            <w:color w:val="333333"/>
            <w:kern w:val="0"/>
            <w:sz w:val="24"/>
            <w:szCs w:val="24"/>
          </w:rPr>
          <w:t>xls</w:t>
        </w:r>
        <w:proofErr w:type="gramEnd"/>
      </w:hyperlink>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p>
    <w:p w:rsidR="009F0121" w:rsidRPr="009F0121" w:rsidRDefault="009F0121" w:rsidP="009F0121">
      <w:pPr>
        <w:widowControl/>
        <w:spacing w:before="100" w:beforeAutospacing="1" w:after="100" w:afterAutospacing="1"/>
        <w:ind w:firstLine="480"/>
        <w:jc w:val="left"/>
        <w:rPr>
          <w:rFonts w:ascii="微软雅黑" w:eastAsia="微软雅黑" w:hAnsi="微软雅黑" w:cs="宋体" w:hint="eastAsia"/>
          <w:color w:val="333333"/>
          <w:kern w:val="0"/>
          <w:sz w:val="24"/>
          <w:szCs w:val="24"/>
        </w:rPr>
      </w:pPr>
    </w:p>
    <w:p w:rsidR="009F0121" w:rsidRPr="009F0121" w:rsidRDefault="009F0121" w:rsidP="009F0121">
      <w:pPr>
        <w:widowControl/>
        <w:spacing w:before="100" w:beforeAutospacing="1" w:after="100" w:afterAutospacing="1"/>
        <w:jc w:val="righ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财政部</w:t>
      </w:r>
      <w:r w:rsidRPr="009F0121">
        <w:rPr>
          <w:rFonts w:ascii="微软雅黑" w:eastAsia="微软雅黑" w:hAnsi="微软雅黑" w:cs="宋体" w:hint="eastAsia"/>
          <w:color w:val="333333"/>
          <w:kern w:val="0"/>
          <w:sz w:val="24"/>
          <w:szCs w:val="24"/>
        </w:rPr>
        <w:t> </w:t>
      </w:r>
      <w:r w:rsidRPr="009F0121">
        <w:rPr>
          <w:rFonts w:ascii="微软雅黑" w:eastAsia="微软雅黑" w:hAnsi="微软雅黑" w:cs="宋体" w:hint="eastAsia"/>
          <w:color w:val="333333"/>
          <w:kern w:val="0"/>
          <w:sz w:val="24"/>
          <w:szCs w:val="24"/>
        </w:rPr>
        <w:t>国家税务总局</w:t>
      </w:r>
    </w:p>
    <w:p w:rsidR="009F0121" w:rsidRPr="009F0121" w:rsidRDefault="009F0121" w:rsidP="009F0121">
      <w:pPr>
        <w:widowControl/>
        <w:spacing w:before="100" w:beforeAutospacing="1" w:after="100" w:afterAutospacing="1"/>
        <w:jc w:val="right"/>
        <w:rPr>
          <w:rFonts w:ascii="微软雅黑" w:eastAsia="微软雅黑" w:hAnsi="微软雅黑" w:cs="宋体" w:hint="eastAsia"/>
          <w:color w:val="333333"/>
          <w:kern w:val="0"/>
          <w:sz w:val="24"/>
          <w:szCs w:val="24"/>
        </w:rPr>
      </w:pPr>
      <w:r w:rsidRPr="009F0121">
        <w:rPr>
          <w:rFonts w:ascii="微软雅黑" w:eastAsia="微软雅黑" w:hAnsi="微软雅黑" w:cs="宋体" w:hint="eastAsia"/>
          <w:color w:val="333333"/>
          <w:kern w:val="0"/>
          <w:sz w:val="24"/>
          <w:szCs w:val="24"/>
        </w:rPr>
        <w:t>2020年10月30日</w:t>
      </w:r>
    </w:p>
    <w:p w:rsidR="00252F5D" w:rsidRPr="009F0121" w:rsidRDefault="00252F5D">
      <w:bookmarkStart w:id="0" w:name="_GoBack"/>
      <w:bookmarkEnd w:id="0"/>
    </w:p>
    <w:sectPr w:rsidR="00252F5D" w:rsidRPr="009F0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21"/>
    <w:rsid w:val="00252F5D"/>
    <w:rsid w:val="009F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01BA5-D9B3-47C3-B181-5854750C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573978">
      <w:bodyDiv w:val="1"/>
      <w:marLeft w:val="0"/>
      <w:marRight w:val="0"/>
      <w:marTop w:val="0"/>
      <w:marBottom w:val="0"/>
      <w:divBdr>
        <w:top w:val="none" w:sz="0" w:space="0" w:color="auto"/>
        <w:left w:val="none" w:sz="0" w:space="0" w:color="auto"/>
        <w:bottom w:val="none" w:sz="0" w:space="0" w:color="auto"/>
        <w:right w:val="none" w:sz="0" w:space="0" w:color="auto"/>
      </w:divBdr>
      <w:divsChild>
        <w:div w:id="379940108">
          <w:marLeft w:val="0"/>
          <w:marRight w:val="0"/>
          <w:marTop w:val="0"/>
          <w:marBottom w:val="0"/>
          <w:divBdr>
            <w:top w:val="none" w:sz="0" w:space="0" w:color="auto"/>
            <w:left w:val="none" w:sz="0" w:space="0" w:color="auto"/>
            <w:bottom w:val="none" w:sz="0" w:space="0" w:color="auto"/>
            <w:right w:val="none" w:sz="0" w:space="0" w:color="auto"/>
          </w:divBdr>
          <w:divsChild>
            <w:div w:id="460422854">
              <w:marLeft w:val="0"/>
              <w:marRight w:val="0"/>
              <w:marTop w:val="0"/>
              <w:marBottom w:val="0"/>
              <w:divBdr>
                <w:top w:val="none" w:sz="0" w:space="0" w:color="auto"/>
                <w:left w:val="none" w:sz="0" w:space="0" w:color="auto"/>
                <w:bottom w:val="none" w:sz="0" w:space="0" w:color="auto"/>
                <w:right w:val="none" w:sz="0" w:space="0" w:color="auto"/>
              </w:divBdr>
              <w:divsChild>
                <w:div w:id="1270049169">
                  <w:marLeft w:val="0"/>
                  <w:marRight w:val="0"/>
                  <w:marTop w:val="300"/>
                  <w:marBottom w:val="0"/>
                  <w:divBdr>
                    <w:top w:val="none" w:sz="0" w:space="0" w:color="auto"/>
                    <w:left w:val="none" w:sz="0" w:space="0" w:color="auto"/>
                    <w:bottom w:val="none" w:sz="0" w:space="0" w:color="auto"/>
                    <w:right w:val="none" w:sz="0" w:space="0" w:color="auto"/>
                  </w:divBdr>
                </w:div>
                <w:div w:id="106513142">
                  <w:marLeft w:val="0"/>
                  <w:marRight w:val="0"/>
                  <w:marTop w:val="300"/>
                  <w:marBottom w:val="0"/>
                  <w:divBdr>
                    <w:top w:val="none" w:sz="0" w:space="0" w:color="auto"/>
                    <w:left w:val="none" w:sz="0" w:space="0" w:color="auto"/>
                    <w:bottom w:val="none" w:sz="0" w:space="0" w:color="auto"/>
                    <w:right w:val="none" w:sz="0" w:space="0" w:color="auto"/>
                  </w:divBdr>
                </w:div>
                <w:div w:id="1540245689">
                  <w:marLeft w:val="0"/>
                  <w:marRight w:val="0"/>
                  <w:marTop w:val="450"/>
                  <w:marBottom w:val="0"/>
                  <w:divBdr>
                    <w:top w:val="none" w:sz="0" w:space="0" w:color="auto"/>
                    <w:left w:val="none" w:sz="0" w:space="0" w:color="auto"/>
                    <w:bottom w:val="single" w:sz="6" w:space="0" w:color="E6E6E6"/>
                    <w:right w:val="none" w:sz="0" w:space="0" w:color="auto"/>
                  </w:divBdr>
                  <w:divsChild>
                    <w:div w:id="2032877017">
                      <w:marLeft w:val="0"/>
                      <w:marRight w:val="0"/>
                      <w:marTop w:val="0"/>
                      <w:marBottom w:val="0"/>
                      <w:divBdr>
                        <w:top w:val="none" w:sz="0" w:space="0" w:color="auto"/>
                        <w:left w:val="none" w:sz="0" w:space="0" w:color="auto"/>
                        <w:bottom w:val="none" w:sz="0" w:space="0" w:color="auto"/>
                        <w:right w:val="none" w:sz="0" w:space="0" w:color="auto"/>
                      </w:divBdr>
                    </w:div>
                    <w:div w:id="719402581">
                      <w:marLeft w:val="0"/>
                      <w:marRight w:val="0"/>
                      <w:marTop w:val="0"/>
                      <w:marBottom w:val="0"/>
                      <w:divBdr>
                        <w:top w:val="none" w:sz="0" w:space="0" w:color="auto"/>
                        <w:left w:val="none" w:sz="0" w:space="0" w:color="auto"/>
                        <w:bottom w:val="none" w:sz="0" w:space="0" w:color="auto"/>
                        <w:right w:val="none" w:sz="0" w:space="0" w:color="auto"/>
                      </w:divBdr>
                    </w:div>
                    <w:div w:id="2065980041">
                      <w:marLeft w:val="0"/>
                      <w:marRight w:val="0"/>
                      <w:marTop w:val="0"/>
                      <w:marBottom w:val="0"/>
                      <w:divBdr>
                        <w:top w:val="none" w:sz="0" w:space="0" w:color="auto"/>
                        <w:left w:val="none" w:sz="0" w:space="0" w:color="auto"/>
                        <w:bottom w:val="none" w:sz="0" w:space="0" w:color="auto"/>
                        <w:right w:val="none" w:sz="0" w:space="0" w:color="auto"/>
                      </w:divBdr>
                    </w:div>
                  </w:divsChild>
                </w:div>
                <w:div w:id="385295690">
                  <w:marLeft w:val="0"/>
                  <w:marRight w:val="0"/>
                  <w:marTop w:val="0"/>
                  <w:marBottom w:val="0"/>
                  <w:divBdr>
                    <w:top w:val="none" w:sz="0" w:space="0" w:color="auto"/>
                    <w:left w:val="none" w:sz="0" w:space="0" w:color="auto"/>
                    <w:bottom w:val="none" w:sz="0" w:space="0" w:color="auto"/>
                    <w:right w:val="none" w:sz="0" w:space="0" w:color="auto"/>
                  </w:divBdr>
                  <w:divsChild>
                    <w:div w:id="409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aoning.chinatax.gov.cn/module/download/downfile.jsp?classid=0&amp;showname=%E5%9B%BD%E9%93%81%E9%9B%86%E5%9B%A2%E5%A2%9E%E5%80%BC%E7%A8%8E%E6%B1%87%E6%80%BB%E7%BA%B3%E7%A8%8E%E5%88%86%E6%94%AF%E6%9C%BA%E6%9E%84%E5%90%8D%E5%8D%95%EF%BC%88%E4%B8%80%EF%BC%89.xls&amp;filename=a5dc6e8ccc404a968d1e9744e2604d31.x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window.pr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liaoning.chinatax.gov.cn/module/download/downfile.jsp?classid=0&amp;showname=%E5%9B%BD%E9%93%81%E9%9B%86%E5%9B%A2%E5%8F%96%E6%B6%88%E6%B1%87%E6%80%BB%E7%BA%B3%E7%A8%8E%E5%88%86%E6%94%AF%E6%9C%BA%E6%9E%84%E5%90%8D%E5%8D%95.xls&amp;filename=2e9b03059ea5497994ad6e6c8fe8b592.xls" TargetMode="External"/><Relationship Id="rId5" Type="http://schemas.openxmlformats.org/officeDocument/2006/relationships/hyperlink" Target="javascript:void(0)" TargetMode="External"/><Relationship Id="rId10" Type="http://schemas.openxmlformats.org/officeDocument/2006/relationships/hyperlink" Target="http://liaoning.chinatax.gov.cn/module/download/downfile.jsp?classid=0&amp;showname=%E5%9B%BD%E9%93%81%E9%9B%86%E5%9B%A2%E5%A2%9E%E5%80%BC%E7%A8%8E%E6%B1%87%E6%80%BB%E7%BA%B3%E7%A8%8E%E5%88%86%E6%94%AF%E6%9C%BA%E6%9E%84%E5%90%8D%E5%8D%95%EF%BC%88%E4%BA%8C%EF%BC%89.xls&amp;filename=a6546b073aab4fe5a869970ab863c1bc.xls" TargetMode="External"/><Relationship Id="rId4" Type="http://schemas.openxmlformats.org/officeDocument/2006/relationships/hyperlink" Target="javascript:void(0)" TargetMode="Externa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1922</Characters>
  <Application>Microsoft Office Word</Application>
  <DocSecurity>0</DocSecurity>
  <Lines>16</Lines>
  <Paragraphs>4</Paragraphs>
  <ScaleCrop>false</ScaleCrop>
  <Company>china</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2020-12-29T08:05:00Z</dcterms:created>
  <dcterms:modified xsi:type="dcterms:W3CDTF">2020-12-29T08:05:00Z</dcterms:modified>
</cp:coreProperties>
</file>